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48E8D" w14:textId="6BCDA954" w:rsidR="0022039C" w:rsidRPr="00700CA9" w:rsidRDefault="0022039C" w:rsidP="009469F6">
      <w:pPr>
        <w:pStyle w:val="Heading1"/>
        <w:spacing w:before="0"/>
      </w:pPr>
      <w:r w:rsidRPr="00700CA9">
        <w:t xml:space="preserve">Policy </w:t>
      </w:r>
      <w:r w:rsidR="00524176" w:rsidRPr="00700CA9">
        <w:t>G</w:t>
      </w:r>
      <w:r w:rsidRPr="00700CA9">
        <w:t xml:space="preserve">uide and </w:t>
      </w:r>
      <w:r w:rsidR="00524176" w:rsidRPr="00700CA9">
        <w:t>C</w:t>
      </w:r>
      <w:r w:rsidRPr="00700CA9">
        <w:t>hecklist</w:t>
      </w:r>
      <w:bookmarkStart w:id="0" w:name="_heading=h.wv29di344pi1"/>
      <w:bookmarkEnd w:id="0"/>
    </w:p>
    <w:p w14:paraId="2C43F33E" w14:textId="418F6FBF" w:rsidR="009009E7" w:rsidRDefault="00425EB3" w:rsidP="003D030A">
      <w:r w:rsidRPr="00700CA9">
        <w:t xml:space="preserve">This front page is to guide users in </w:t>
      </w:r>
      <w:r w:rsidR="002A7B3E" w:rsidRPr="00700CA9">
        <w:t xml:space="preserve">developing </w:t>
      </w:r>
      <w:r w:rsidR="00D27259" w:rsidRPr="00700CA9">
        <w:t>their</w:t>
      </w:r>
      <w:r w:rsidR="00DB71F4">
        <w:t xml:space="preserve"> </w:t>
      </w:r>
      <w:r w:rsidR="00352213">
        <w:t>Service Access and Exit</w:t>
      </w:r>
      <w:r w:rsidR="003839FD">
        <w:t xml:space="preserve"> </w:t>
      </w:r>
      <w:r w:rsidR="00430F46" w:rsidRPr="00164BB5">
        <w:t>Policy and Procedures</w:t>
      </w:r>
      <w:r w:rsidRPr="00700CA9">
        <w:t>.</w:t>
      </w:r>
      <w:r w:rsidR="001B7C0D">
        <w:t xml:space="preserve"> </w:t>
      </w:r>
      <w:r w:rsidR="009009E7">
        <w:t xml:space="preserve">To help you complete </w:t>
      </w:r>
      <w:r w:rsidR="000B3513">
        <w:t>these, you will find that</w:t>
      </w:r>
      <w:r w:rsidR="009009E7">
        <w:t>:</w:t>
      </w:r>
    </w:p>
    <w:p w14:paraId="49458D8C" w14:textId="511BA2DE" w:rsidR="001B7C0D" w:rsidRDefault="00BD32CE" w:rsidP="00F85279">
      <w:pPr>
        <w:pStyle w:val="ListParagraph"/>
        <w:numPr>
          <w:ilvl w:val="0"/>
          <w:numId w:val="23"/>
        </w:numPr>
        <w:ind w:left="426"/>
      </w:pPr>
      <w:r>
        <w:t>Basic i</w:t>
      </w:r>
      <w:r w:rsidR="001B7C0D">
        <w:t xml:space="preserve">nstructions </w:t>
      </w:r>
      <w:r>
        <w:t xml:space="preserve">and choices between specific terms are indicated by </w:t>
      </w:r>
      <w:r w:rsidRPr="009009E7">
        <w:rPr>
          <w:highlight w:val="yellow"/>
        </w:rPr>
        <w:t>yellow highlighting</w:t>
      </w:r>
      <w:r>
        <w:t>.</w:t>
      </w:r>
    </w:p>
    <w:p w14:paraId="31950EBD" w14:textId="056BEAFD" w:rsidR="00BD32CE" w:rsidRDefault="009009E7" w:rsidP="00F85279">
      <w:pPr>
        <w:pStyle w:val="ListParagraph"/>
        <w:numPr>
          <w:ilvl w:val="0"/>
          <w:numId w:val="23"/>
        </w:numPr>
        <w:ind w:left="426"/>
      </w:pPr>
      <w:r>
        <w:t xml:space="preserve">Sections requiring detail are </w:t>
      </w:r>
      <w:r w:rsidR="002C2172">
        <w:t xml:space="preserve">indicated by </w:t>
      </w:r>
      <w:r w:rsidR="002C2172" w:rsidRPr="002C2172">
        <w:rPr>
          <w:highlight w:val="green"/>
        </w:rPr>
        <w:t>green highlighting</w:t>
      </w:r>
      <w:r w:rsidR="002C2172">
        <w:t>.</w:t>
      </w:r>
    </w:p>
    <w:p w14:paraId="4CA5632D" w14:textId="061E52D0" w:rsidR="00425EB3" w:rsidRPr="00700CA9" w:rsidRDefault="00425EB3" w:rsidP="003D030A">
      <w:r w:rsidRPr="00700CA9">
        <w:t xml:space="preserve">Before submitting this </w:t>
      </w:r>
      <w:r w:rsidR="00524176" w:rsidRPr="00700CA9">
        <w:t xml:space="preserve">document </w:t>
      </w:r>
      <w:r w:rsidRPr="00700CA9">
        <w:t xml:space="preserve">for approval, check that you have completed the following: </w:t>
      </w:r>
    </w:p>
    <w:p w14:paraId="40779AF2" w14:textId="64113BCE" w:rsidR="009F5DF4" w:rsidRPr="00700CA9" w:rsidRDefault="00A0488D" w:rsidP="00F85279">
      <w:pPr>
        <w:ind w:left="426" w:hanging="425"/>
      </w:pPr>
      <w:sdt>
        <w:sdtPr>
          <w:id w:val="2078472470"/>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425EB3" w:rsidRPr="00700CA9">
        <w:t xml:space="preserve">Read the </w:t>
      </w:r>
      <w:r w:rsidR="00DA05C9" w:rsidRPr="00700CA9">
        <w:t>current</w:t>
      </w:r>
      <w:r w:rsidR="006C47BE" w:rsidRPr="00700CA9">
        <w:rPr>
          <w:rStyle w:val="FootnoteReference"/>
          <w:rFonts w:asciiTheme="majorHAnsi" w:eastAsia="Times New Roman" w:hAnsiTheme="majorHAnsi" w:cstheme="majorHAnsi"/>
          <w:sz w:val="16"/>
          <w:szCs w:val="16"/>
        </w:rPr>
        <w:footnoteReference w:id="2"/>
      </w:r>
      <w:r w:rsidR="00DA05C9" w:rsidRPr="00700CA9">
        <w:t xml:space="preserve"> </w:t>
      </w:r>
      <w:r w:rsidR="00425EB3" w:rsidRPr="00700CA9">
        <w:t>HSQF Framework</w:t>
      </w:r>
      <w:r w:rsidR="00AD732C" w:rsidRPr="00700CA9">
        <w:t xml:space="preserve"> Version</w:t>
      </w:r>
      <w:r w:rsidR="00D27259" w:rsidRPr="00700CA9">
        <w:t>.</w:t>
      </w:r>
    </w:p>
    <w:p w14:paraId="589C1D2F" w14:textId="4C259023" w:rsidR="009F5DF4" w:rsidRPr="00700CA9" w:rsidRDefault="00A0488D" w:rsidP="00F85279">
      <w:pPr>
        <w:ind w:left="426" w:hanging="425"/>
      </w:pPr>
      <w:sdt>
        <w:sdtPr>
          <w:id w:val="2089721565"/>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425EB3" w:rsidRPr="00700CA9">
        <w:t xml:space="preserve">Read the </w:t>
      </w:r>
      <w:r w:rsidR="006C47BE" w:rsidRPr="00700CA9">
        <w:t xml:space="preserve">current </w:t>
      </w:r>
      <w:r w:rsidR="00425EB3" w:rsidRPr="00700CA9">
        <w:t xml:space="preserve">HSQF User guide </w:t>
      </w:r>
      <w:r w:rsidR="00D27259" w:rsidRPr="00700CA9">
        <w:t>–</w:t>
      </w:r>
      <w:r w:rsidR="00425EB3" w:rsidRPr="00700CA9">
        <w:t xml:space="preserve"> Certification</w:t>
      </w:r>
      <w:r w:rsidR="00D27259" w:rsidRPr="00700CA9">
        <w:t xml:space="preserve"> </w:t>
      </w:r>
      <w:r w:rsidR="00425EB3" w:rsidRPr="00700CA9">
        <w:t>or</w:t>
      </w:r>
      <w:r w:rsidR="00D27259" w:rsidRPr="00700CA9">
        <w:t xml:space="preserve"> HSQF</w:t>
      </w:r>
      <w:r w:rsidR="00425EB3" w:rsidRPr="00700CA9">
        <w:t xml:space="preserve"> User Guide – Self-Assessable</w:t>
      </w:r>
      <w:r w:rsidR="00D27259" w:rsidRPr="00700CA9">
        <w:t xml:space="preserve"> (as appropriate to your </w:t>
      </w:r>
      <w:r w:rsidR="00425EB3" w:rsidRPr="00700CA9">
        <w:t>service agreement and organisation</w:t>
      </w:r>
      <w:r w:rsidR="00D27259" w:rsidRPr="00700CA9">
        <w:t>).</w:t>
      </w:r>
    </w:p>
    <w:p w14:paraId="69B91176" w14:textId="15911F85" w:rsidR="009F5DF4" w:rsidRPr="00700CA9" w:rsidRDefault="00A0488D" w:rsidP="00F85279">
      <w:pPr>
        <w:ind w:left="426" w:hanging="425"/>
      </w:pPr>
      <w:sdt>
        <w:sdtPr>
          <w:id w:val="-1193917366"/>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CF4B72" w:rsidRPr="00700CA9">
        <w:t xml:space="preserve">Checked </w:t>
      </w:r>
      <w:r w:rsidR="00425EB3" w:rsidRPr="00700CA9">
        <w:t>the most recent HSQF Version Control Register and Log of Changes</w:t>
      </w:r>
      <w:r w:rsidR="00CF4B72" w:rsidRPr="00700CA9">
        <w:t xml:space="preserve"> and included any relevant changes in your policy draft.</w:t>
      </w:r>
    </w:p>
    <w:p w14:paraId="73C46B52" w14:textId="523A1E3C" w:rsidR="009F5DF4" w:rsidRDefault="00A0488D" w:rsidP="00F85279">
      <w:pPr>
        <w:ind w:left="426" w:hanging="425"/>
      </w:pPr>
      <w:sdt>
        <w:sdtPr>
          <w:id w:val="-1478760032"/>
          <w14:checkbox>
            <w14:checked w14:val="0"/>
            <w14:checkedState w14:val="2612" w14:font="MS Gothic"/>
            <w14:uncheckedState w14:val="2610" w14:font="MS Gothic"/>
          </w14:checkbox>
        </w:sdtPr>
        <w:sdtEndPr/>
        <w:sdtContent>
          <w:r w:rsidR="00FE365A">
            <w:rPr>
              <w:rFonts w:ascii="MS Gothic" w:eastAsia="MS Gothic" w:hAnsi="MS Gothic" w:hint="eastAsia"/>
            </w:rPr>
            <w:t>☐</w:t>
          </w:r>
        </w:sdtContent>
      </w:sdt>
      <w:r w:rsidR="009F5DF4" w:rsidRPr="00700CA9">
        <w:tab/>
      </w:r>
      <w:r w:rsidR="001C3B0A" w:rsidRPr="00700CA9">
        <w:t xml:space="preserve">Included </w:t>
      </w:r>
      <w:r w:rsidR="00425EB3" w:rsidRPr="00700CA9">
        <w:t>the document code</w:t>
      </w:r>
      <w:r w:rsidR="00F537F2" w:rsidRPr="00700CA9">
        <w:t>/version number in accordance with your organisation’s version control procedure.</w:t>
      </w:r>
    </w:p>
    <w:p w14:paraId="174C75A9" w14:textId="77777777" w:rsidR="00030C04" w:rsidRDefault="00A0488D" w:rsidP="00F85279">
      <w:pPr>
        <w:ind w:left="426" w:hanging="425"/>
      </w:pPr>
      <w:sdt>
        <w:sdtPr>
          <w:id w:val="1453976706"/>
          <w14:checkbox>
            <w14:checked w14:val="0"/>
            <w14:checkedState w14:val="2612" w14:font="MS Gothic"/>
            <w14:uncheckedState w14:val="2610" w14:font="MS Gothic"/>
          </w14:checkbox>
        </w:sdtPr>
        <w:sdtEndPr/>
        <w:sdtContent>
          <w:r w:rsidR="006459E6" w:rsidRPr="00700CA9">
            <w:rPr>
              <w:rFonts w:ascii="MS Gothic" w:eastAsia="MS Gothic" w:hAnsi="MS Gothic" w:hint="eastAsia"/>
            </w:rPr>
            <w:t>☐</w:t>
          </w:r>
        </w:sdtContent>
      </w:sdt>
      <w:r w:rsidR="006459E6" w:rsidRPr="00700CA9">
        <w:tab/>
      </w:r>
      <w:r w:rsidR="006459E6">
        <w:t xml:space="preserve"> Replaced all reference to </w:t>
      </w:r>
      <w:r w:rsidR="006459E6" w:rsidRPr="002C2172">
        <w:rPr>
          <w:highlight w:val="yellow"/>
        </w:rPr>
        <w:t>organisation</w:t>
      </w:r>
      <w:r w:rsidR="006459E6">
        <w:t xml:space="preserve"> with your organisation name.</w:t>
      </w:r>
    </w:p>
    <w:p w14:paraId="0184F966" w14:textId="3094DF3F" w:rsidR="00030C04" w:rsidRPr="00700CA9" w:rsidRDefault="00A0488D" w:rsidP="00F85279">
      <w:pPr>
        <w:ind w:left="426" w:hanging="425"/>
      </w:pPr>
      <w:sdt>
        <w:sdtPr>
          <w:id w:val="-1582370741"/>
          <w14:checkbox>
            <w14:checked w14:val="0"/>
            <w14:checkedState w14:val="2612" w14:font="MS Gothic"/>
            <w14:uncheckedState w14:val="2610" w14:font="MS Gothic"/>
          </w14:checkbox>
        </w:sdtPr>
        <w:sdtEndPr/>
        <w:sdtContent>
          <w:r w:rsidR="00DD31A6">
            <w:rPr>
              <w:rFonts w:ascii="MS Gothic" w:eastAsia="MS Gothic" w:hAnsi="MS Gothic" w:hint="eastAsia"/>
            </w:rPr>
            <w:t>☐</w:t>
          </w:r>
        </w:sdtContent>
      </w:sdt>
      <w:r w:rsidR="00030C04" w:rsidRPr="00700CA9">
        <w:tab/>
        <w:t xml:space="preserve">Customised or deleted (as appropriate) all </w:t>
      </w:r>
      <w:r w:rsidR="00030C04" w:rsidRPr="00030C04">
        <w:rPr>
          <w:highlight w:val="yellow"/>
        </w:rPr>
        <w:t>yellow highlighted sections</w:t>
      </w:r>
      <w:r w:rsidR="00030C04" w:rsidRPr="00700CA9">
        <w:t>.</w:t>
      </w:r>
    </w:p>
    <w:p w14:paraId="6BEDB471" w14:textId="021984FA" w:rsidR="006459E6" w:rsidRPr="00700CA9" w:rsidRDefault="00A0488D" w:rsidP="00F85279">
      <w:pPr>
        <w:ind w:left="426" w:hanging="425"/>
      </w:pPr>
      <w:sdt>
        <w:sdtPr>
          <w:id w:val="1324084798"/>
          <w14:checkbox>
            <w14:checked w14:val="0"/>
            <w14:checkedState w14:val="2612" w14:font="MS Gothic"/>
            <w14:uncheckedState w14:val="2610" w14:font="MS Gothic"/>
          </w14:checkbox>
        </w:sdtPr>
        <w:sdtEndPr/>
        <w:sdtContent>
          <w:r w:rsidR="00030C04" w:rsidRPr="00700CA9">
            <w:rPr>
              <w:rFonts w:ascii="MS Gothic" w:eastAsia="MS Gothic" w:hAnsi="MS Gothic" w:hint="eastAsia"/>
            </w:rPr>
            <w:t>☐</w:t>
          </w:r>
        </w:sdtContent>
      </w:sdt>
      <w:r w:rsidR="00030C04" w:rsidRPr="00700CA9">
        <w:tab/>
      </w:r>
      <w:r w:rsidR="00030C04">
        <w:t xml:space="preserve">Drafted content for or deleted (as appropriate) all </w:t>
      </w:r>
      <w:r w:rsidR="00030C04" w:rsidRPr="00030C04">
        <w:rPr>
          <w:highlight w:val="green"/>
        </w:rPr>
        <w:t>green highlighted sections</w:t>
      </w:r>
      <w:r w:rsidR="00030C04">
        <w:t>.</w:t>
      </w:r>
    </w:p>
    <w:p w14:paraId="70831CF9" w14:textId="3700A775" w:rsidR="009F5DF4" w:rsidRPr="00700CA9" w:rsidRDefault="00A0488D" w:rsidP="00327CAA">
      <w:pPr>
        <w:ind w:left="426" w:hanging="425"/>
      </w:pPr>
      <w:sdt>
        <w:sdtPr>
          <w:id w:val="1593817301"/>
          <w14:checkbox>
            <w14:checked w14:val="0"/>
            <w14:checkedState w14:val="2612" w14:font="MS Gothic"/>
            <w14:uncheckedState w14:val="2610" w14:font="MS Gothic"/>
          </w14:checkbox>
        </w:sdtPr>
        <w:sdtEndPr/>
        <w:sdtContent>
          <w:r w:rsidR="00A543A5" w:rsidRPr="00700CA9">
            <w:rPr>
              <w:rFonts w:ascii="MS Gothic" w:eastAsia="MS Gothic" w:hAnsi="MS Gothic" w:hint="eastAsia"/>
            </w:rPr>
            <w:t>☐</w:t>
          </w:r>
        </w:sdtContent>
      </w:sdt>
      <w:r w:rsidR="00A543A5" w:rsidRPr="00700CA9">
        <w:tab/>
        <w:t xml:space="preserve">Customised the </w:t>
      </w:r>
      <w:r w:rsidR="00F750E3" w:rsidRPr="00700CA9">
        <w:t>Relevant Legislation and Standards</w:t>
      </w:r>
      <w:r w:rsidR="004524CF">
        <w:t xml:space="preserve">, </w:t>
      </w:r>
      <w:r w:rsidR="004524CF" w:rsidRPr="00700CA9">
        <w:t>Related Policies and Procedures</w:t>
      </w:r>
      <w:r w:rsidR="004524CF">
        <w:t xml:space="preserve"> and Supporting Documents</w:t>
      </w:r>
      <w:r w:rsidR="00F750E3" w:rsidRPr="00700CA9">
        <w:t xml:space="preserve"> list</w:t>
      </w:r>
      <w:r w:rsidR="004524CF">
        <w:t>s</w:t>
      </w:r>
      <w:r w:rsidR="00327CAA">
        <w:t xml:space="preserve"> </w:t>
      </w:r>
      <w:r w:rsidR="00425EB3" w:rsidRPr="00700CA9">
        <w:t>(where relevant)</w:t>
      </w:r>
      <w:r w:rsidR="001C3B0A" w:rsidRPr="00700CA9">
        <w:t>.</w:t>
      </w:r>
    </w:p>
    <w:p w14:paraId="528E7A99" w14:textId="277B406E" w:rsidR="009F5DF4" w:rsidRPr="00700CA9" w:rsidRDefault="00A0488D" w:rsidP="00F85279">
      <w:pPr>
        <w:ind w:left="426" w:hanging="425"/>
      </w:pPr>
      <w:sdt>
        <w:sdtPr>
          <w:id w:val="-503908806"/>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425EB3" w:rsidRPr="00700CA9">
        <w:t>Updated the header and footer</w:t>
      </w:r>
      <w:r w:rsidR="001C3B0A" w:rsidRPr="00700CA9">
        <w:t xml:space="preserve"> to reflect </w:t>
      </w:r>
      <w:r w:rsidR="003B6D28" w:rsidRPr="00700CA9">
        <w:t>the document name, version and other relevant details for your organisation.</w:t>
      </w:r>
    </w:p>
    <w:p w14:paraId="52B2F1CB" w14:textId="3E6380F8" w:rsidR="009F5DF4" w:rsidRPr="00700CA9" w:rsidRDefault="00A0488D" w:rsidP="00F85279">
      <w:pPr>
        <w:ind w:left="426" w:hanging="425"/>
      </w:pPr>
      <w:sdt>
        <w:sdtPr>
          <w:id w:val="1635680364"/>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425EB3" w:rsidRPr="00700CA9">
        <w:t>Added a review date</w:t>
      </w:r>
      <w:r w:rsidR="003B6D28" w:rsidRPr="00700CA9">
        <w:t>.</w:t>
      </w:r>
    </w:p>
    <w:p w14:paraId="6E42B66F" w14:textId="75396B16" w:rsidR="00425EB3" w:rsidRDefault="00A0488D" w:rsidP="00F85279">
      <w:pPr>
        <w:ind w:left="426" w:hanging="425"/>
      </w:pPr>
      <w:sdt>
        <w:sdtPr>
          <w:id w:val="1810204252"/>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9F5DF4" w:rsidRPr="00700CA9">
        <w:tab/>
      </w:r>
      <w:r w:rsidR="00425EB3" w:rsidRPr="00700CA9">
        <w:t xml:space="preserve">Logged any changes </w:t>
      </w:r>
      <w:r w:rsidR="003B6D28" w:rsidRPr="00700CA9">
        <w:t>to policies/procedures in your organisation’s Policies and Procedures Register.</w:t>
      </w:r>
    </w:p>
    <w:p w14:paraId="7947C057" w14:textId="26AA1665" w:rsidR="0060647B" w:rsidRPr="00700CA9" w:rsidRDefault="00A0488D" w:rsidP="00F85279">
      <w:pPr>
        <w:ind w:left="426" w:hanging="425"/>
      </w:pPr>
      <w:sdt>
        <w:sdtPr>
          <w:id w:val="226341137"/>
          <w14:checkbox>
            <w14:checked w14:val="0"/>
            <w14:checkedState w14:val="2612" w14:font="MS Gothic"/>
            <w14:uncheckedState w14:val="2610" w14:font="MS Gothic"/>
          </w14:checkbox>
        </w:sdtPr>
        <w:sdtEndPr/>
        <w:sdtContent>
          <w:r w:rsidR="0060647B" w:rsidRPr="00700CA9">
            <w:rPr>
              <w:rFonts w:ascii="MS Gothic" w:eastAsia="MS Gothic" w:hAnsi="MS Gothic" w:hint="eastAsia"/>
            </w:rPr>
            <w:t>☐</w:t>
          </w:r>
        </w:sdtContent>
      </w:sdt>
      <w:r w:rsidR="0060647B" w:rsidRPr="00700CA9">
        <w:tab/>
      </w:r>
      <w:r w:rsidR="0060647B">
        <w:t>Deleted all footnotes.</w:t>
      </w:r>
    </w:p>
    <w:p w14:paraId="105DB5AA" w14:textId="42D2F531" w:rsidR="00425EB3" w:rsidRPr="00700CA9" w:rsidRDefault="00A0488D" w:rsidP="00F85279">
      <w:pPr>
        <w:ind w:left="426" w:hanging="425"/>
      </w:pPr>
      <w:sdt>
        <w:sdtPr>
          <w:id w:val="-1377150468"/>
          <w14:checkbox>
            <w14:checked w14:val="0"/>
            <w14:checkedState w14:val="2612" w14:font="MS Gothic"/>
            <w14:uncheckedState w14:val="2610" w14:font="MS Gothic"/>
          </w14:checkbox>
        </w:sdtPr>
        <w:sdtEndPr/>
        <w:sdtContent>
          <w:r w:rsidR="009F5DF4" w:rsidRPr="00700CA9">
            <w:rPr>
              <w:rFonts w:ascii="MS Gothic" w:eastAsia="MS Gothic" w:hAnsi="MS Gothic" w:hint="eastAsia"/>
            </w:rPr>
            <w:t>☐</w:t>
          </w:r>
        </w:sdtContent>
      </w:sdt>
      <w:r w:rsidR="00060394">
        <w:tab/>
      </w:r>
      <w:r w:rsidR="00425EB3" w:rsidRPr="00700CA9">
        <w:t>Removed QCOSS branding and replace</w:t>
      </w:r>
      <w:r w:rsidR="003411FB">
        <w:t>d it</w:t>
      </w:r>
      <w:r w:rsidR="00425EB3" w:rsidRPr="00700CA9">
        <w:t xml:space="preserve"> with your organisation’s</w:t>
      </w:r>
      <w:r w:rsidR="003B6D28" w:rsidRPr="00700CA9">
        <w:t xml:space="preserve"> branding.</w:t>
      </w:r>
    </w:p>
    <w:p w14:paraId="54B778D4" w14:textId="3010DFBA" w:rsidR="0022039C" w:rsidRPr="00164BB5" w:rsidRDefault="00D27259" w:rsidP="009469F6">
      <w:pPr>
        <w:spacing w:after="0"/>
      </w:pPr>
      <w:r w:rsidRPr="00164BB5">
        <w:rPr>
          <w:b/>
          <w:u w:val="single"/>
        </w:rPr>
        <w:t>Delete</w:t>
      </w:r>
      <w:r w:rsidRPr="00164BB5">
        <w:rPr>
          <w:b/>
        </w:rPr>
        <w:t xml:space="preserve"> </w:t>
      </w:r>
      <w:r w:rsidRPr="00164BB5">
        <w:t xml:space="preserve">this </w:t>
      </w:r>
      <w:r w:rsidR="00277E8A" w:rsidRPr="00164BB5">
        <w:t xml:space="preserve">page </w:t>
      </w:r>
      <w:r w:rsidRPr="00164BB5">
        <w:t>once your</w:t>
      </w:r>
      <w:r w:rsidR="00C05D05">
        <w:t xml:space="preserve"> </w:t>
      </w:r>
      <w:r w:rsidR="00352213">
        <w:t>Service Access and Exit</w:t>
      </w:r>
      <w:r w:rsidRPr="00164BB5">
        <w:t xml:space="preserve"> Policy and Procedur</w:t>
      </w:r>
      <w:r w:rsidR="00267AAC" w:rsidRPr="00164BB5">
        <w:t>es</w:t>
      </w:r>
      <w:r w:rsidRPr="00164BB5">
        <w:t xml:space="preserve"> has been approved and finalised</w:t>
      </w:r>
      <w:r w:rsidR="0060647B" w:rsidRPr="00164BB5">
        <w:t>.</w:t>
      </w:r>
    </w:p>
    <w:p w14:paraId="1DA3361C" w14:textId="32C4D3A7" w:rsidR="0022039C" w:rsidRPr="00700CA9" w:rsidRDefault="00164BB5" w:rsidP="003D030A">
      <w:pPr>
        <w:pStyle w:val="Title"/>
        <w:rPr>
          <w:rFonts w:eastAsia="Muli"/>
        </w:rPr>
      </w:pPr>
      <w:r>
        <w:rPr>
          <w:rFonts w:eastAsia="Muli"/>
        </w:rPr>
        <w:br w:type="column"/>
      </w:r>
      <w:r w:rsidR="00352213">
        <w:rPr>
          <w:rFonts w:eastAsia="Muli"/>
        </w:rPr>
        <w:lastRenderedPageBreak/>
        <w:t>Service Access and Exit</w:t>
      </w:r>
      <w:r w:rsidR="00352213">
        <w:rPr>
          <w:rFonts w:eastAsia="Muli"/>
        </w:rPr>
        <w:br/>
      </w:r>
      <w:r w:rsidR="0022039C" w:rsidRPr="00700CA9">
        <w:rPr>
          <w:rFonts w:eastAsia="Muli"/>
        </w:rPr>
        <w:t>Policy and Procedure</w:t>
      </w:r>
      <w:r w:rsidR="004B546F">
        <w:rPr>
          <w:rFonts w:eastAsia="Muli"/>
        </w:rPr>
        <w:t>s</w:t>
      </w:r>
    </w:p>
    <w:p w14:paraId="195F8287" w14:textId="77777777" w:rsidR="0022039C" w:rsidRPr="00700CA9" w:rsidRDefault="0022039C" w:rsidP="003D030A">
      <w:pPr>
        <w:pStyle w:val="Heading4"/>
        <w:rPr>
          <w:rFonts w:eastAsia="Muli"/>
        </w:rPr>
      </w:pPr>
      <w:bookmarkStart w:id="1" w:name="_heading=h.gjdgxs"/>
      <w:bookmarkEnd w:id="1"/>
      <w:r w:rsidRPr="002C2172">
        <w:rPr>
          <w:rFonts w:eastAsia="Muli"/>
          <w:highlight w:val="yellow"/>
        </w:rPr>
        <w:t>Document Code / Version Number</w:t>
      </w:r>
    </w:p>
    <w:p w14:paraId="001F2AEC" w14:textId="77777777" w:rsidR="0022039C" w:rsidRPr="00700CA9" w:rsidRDefault="0022039C" w:rsidP="003D030A">
      <w:pPr>
        <w:pStyle w:val="Heading1"/>
        <w:rPr>
          <w:rFonts w:eastAsia="Muli"/>
        </w:rPr>
      </w:pPr>
      <w:r w:rsidRPr="00700CA9">
        <w:rPr>
          <w:rFonts w:eastAsia="Muli"/>
        </w:rPr>
        <w:t>Policy Statement</w:t>
      </w:r>
    </w:p>
    <w:p w14:paraId="2E534407" w14:textId="5B50A587" w:rsidR="008507A4" w:rsidRDefault="00597427" w:rsidP="003D030A">
      <w:r w:rsidRPr="19C94562">
        <w:rPr>
          <w:highlight w:val="yellow"/>
        </w:rPr>
        <w:t>Organisation</w:t>
      </w:r>
      <w:r>
        <w:t xml:space="preserve"> </w:t>
      </w:r>
      <w:r w:rsidR="009D1491">
        <w:t>makes</w:t>
      </w:r>
      <w:r w:rsidR="00FE45F0">
        <w:t xml:space="preserve"> eligibility for our services and processes for accessing them </w:t>
      </w:r>
      <w:r w:rsidR="00F61E23">
        <w:t>fair and straightfo</w:t>
      </w:r>
      <w:r w:rsidR="00F11220">
        <w:t>r</w:t>
      </w:r>
      <w:r w:rsidR="00F61E23">
        <w:t xml:space="preserve">ward. We work to identify and reduce barriers to access, </w:t>
      </w:r>
      <w:r w:rsidR="007C2990">
        <w:t xml:space="preserve">treat all </w:t>
      </w:r>
      <w:r w:rsidR="007C2990" w:rsidRPr="007C2990">
        <w:rPr>
          <w:highlight w:val="yellow"/>
        </w:rPr>
        <w:t>clients/people who access our services</w:t>
      </w:r>
      <w:r w:rsidR="007C2990">
        <w:t xml:space="preserve"> with respect</w:t>
      </w:r>
      <w:r w:rsidR="00411DC6">
        <w:t xml:space="preserve">, and provide person-centred supports. Where we cannot provide support, we facilitate appropriate referrals. We uphold </w:t>
      </w:r>
      <w:r w:rsidR="00B408F3">
        <w:t>personal choices and human rights while providing services and during and after service exit.</w:t>
      </w:r>
    </w:p>
    <w:p w14:paraId="399A0313" w14:textId="77777777" w:rsidR="0022039C" w:rsidRPr="00700CA9" w:rsidRDefault="0022039C" w:rsidP="003D030A">
      <w:pPr>
        <w:pStyle w:val="Heading2"/>
      </w:pPr>
      <w:bookmarkStart w:id="2" w:name="_heading=h.jjs4mz411enl"/>
      <w:bookmarkEnd w:id="2"/>
      <w:r w:rsidRPr="00700CA9">
        <w:t>Scope</w:t>
      </w:r>
    </w:p>
    <w:p w14:paraId="6474B941" w14:textId="0BD3AB75" w:rsidR="0022039C" w:rsidRPr="00700CA9" w:rsidRDefault="0022039C" w:rsidP="003D030A">
      <w:r w:rsidRPr="00700CA9">
        <w:t xml:space="preserve">This </w:t>
      </w:r>
      <w:r w:rsidR="00204719" w:rsidRPr="00700CA9">
        <w:t>p</w:t>
      </w:r>
      <w:r w:rsidRPr="00700CA9">
        <w:t xml:space="preserve">olicy and </w:t>
      </w:r>
      <w:r w:rsidR="00204719" w:rsidRPr="00700CA9">
        <w:t>associated p</w:t>
      </w:r>
      <w:r w:rsidRPr="00700CA9">
        <w:t>rocedure</w:t>
      </w:r>
      <w:r w:rsidR="00204719" w:rsidRPr="00700CA9">
        <w:t>s</w:t>
      </w:r>
      <w:r w:rsidRPr="00700CA9">
        <w:t xml:space="preserve"> apply to </w:t>
      </w:r>
      <w:r w:rsidRPr="002C2172">
        <w:rPr>
          <w:highlight w:val="yellow"/>
        </w:rPr>
        <w:t>Organisation</w:t>
      </w:r>
      <w:r w:rsidRPr="00700CA9">
        <w:t xml:space="preserve"> as a whole</w:t>
      </w:r>
      <w:r w:rsidR="009266EF">
        <w:t>.</w:t>
      </w:r>
    </w:p>
    <w:p w14:paraId="6CF3EC25" w14:textId="4AF0CD0B" w:rsidR="0022039C" w:rsidRPr="00700CA9" w:rsidRDefault="0022039C" w:rsidP="003D030A">
      <w:pPr>
        <w:pStyle w:val="Heading1"/>
        <w:rPr>
          <w:rFonts w:eastAsia="Muli"/>
        </w:rPr>
      </w:pPr>
      <w:r w:rsidRPr="00700CA9">
        <w:rPr>
          <w:rFonts w:eastAsia="Muli"/>
        </w:rPr>
        <w:t>HSQF Related Standards</w:t>
      </w:r>
    </w:p>
    <w:p w14:paraId="67916BB7" w14:textId="77777777" w:rsidR="00247975" w:rsidRPr="00EA4CEC" w:rsidRDefault="00247975" w:rsidP="00247975">
      <w:pPr>
        <w:pStyle w:val="ListParagraph"/>
      </w:pPr>
      <w:r w:rsidRPr="00EA4CEC">
        <w:t>Human Services Quality Standards Indicator 2.1</w:t>
      </w:r>
    </w:p>
    <w:p w14:paraId="50DE368D" w14:textId="77777777" w:rsidR="00247975" w:rsidRPr="00EA4CEC" w:rsidRDefault="00247975" w:rsidP="00247975">
      <w:pPr>
        <w:pStyle w:val="ListParagraph"/>
      </w:pPr>
      <w:r w:rsidRPr="00EA4CEC">
        <w:t>Human Services Quality Standards Indicator 2.2</w:t>
      </w:r>
    </w:p>
    <w:p w14:paraId="77DFAEB6" w14:textId="77777777" w:rsidR="00247975" w:rsidRDefault="00247975" w:rsidP="00247975">
      <w:pPr>
        <w:pStyle w:val="ListParagraph"/>
      </w:pPr>
      <w:r w:rsidRPr="00EA4CEC">
        <w:t>Human Services Quality Standards Indicator 2.3</w:t>
      </w:r>
    </w:p>
    <w:p w14:paraId="5B3E871C" w14:textId="77777777" w:rsidR="00247975" w:rsidRPr="00EA4CEC" w:rsidRDefault="00247975" w:rsidP="00247975">
      <w:pPr>
        <w:ind w:left="360"/>
      </w:pPr>
      <w:r>
        <w:t>and aspects of</w:t>
      </w:r>
    </w:p>
    <w:p w14:paraId="2FF7BBDD" w14:textId="3179FFBF" w:rsidR="00C6225A" w:rsidRPr="00700CA9" w:rsidRDefault="00247975" w:rsidP="000E6C1B">
      <w:pPr>
        <w:pStyle w:val="ListParagraph"/>
      </w:pPr>
      <w:r w:rsidRPr="00EA4CEC">
        <w:t>Human Services Quality Standards Indicator</w:t>
      </w:r>
      <w:r>
        <w:t>s</w:t>
      </w:r>
      <w:r w:rsidRPr="00EA4CEC">
        <w:t xml:space="preserve"> 3.1</w:t>
      </w:r>
      <w:r>
        <w:t>, 3.2, 3.4 and 3.5</w:t>
      </w:r>
    </w:p>
    <w:p w14:paraId="5ED084F0" w14:textId="25CB7791" w:rsidR="00217B02" w:rsidRPr="003217C2" w:rsidRDefault="00246F57" w:rsidP="003217C2">
      <w:pPr>
        <w:pStyle w:val="Heading1"/>
        <w:rPr>
          <w:rFonts w:eastAsia="Muli"/>
        </w:rPr>
      </w:pPr>
      <w:bookmarkStart w:id="3" w:name="_heading=h.6i3h5tjj4dgm"/>
      <w:bookmarkEnd w:id="3"/>
      <w:r w:rsidRPr="00700CA9">
        <w:rPr>
          <w:rFonts w:eastAsia="Muli"/>
        </w:rPr>
        <w:t xml:space="preserve">Relevant </w:t>
      </w:r>
      <w:r w:rsidR="0022039C" w:rsidRPr="00700CA9">
        <w:rPr>
          <w:rFonts w:eastAsia="Muli"/>
        </w:rPr>
        <w:t>Legislation</w:t>
      </w:r>
      <w:r w:rsidRPr="00700CA9">
        <w:rPr>
          <w:rFonts w:eastAsia="Muli"/>
        </w:rPr>
        <w:t xml:space="preserve"> and </w:t>
      </w:r>
      <w:r w:rsidR="004B621B" w:rsidRPr="00700CA9">
        <w:rPr>
          <w:rFonts w:eastAsia="Muli"/>
        </w:rPr>
        <w:t>Standard</w:t>
      </w:r>
      <w:r w:rsidRPr="00700CA9">
        <w:rPr>
          <w:rFonts w:eastAsia="Muli"/>
        </w:rPr>
        <w:t>s</w:t>
      </w:r>
    </w:p>
    <w:tbl>
      <w:tblPr>
        <w:tblStyle w:val="PlainTable2"/>
        <w:tblW w:w="97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18"/>
        <w:gridCol w:w="7234"/>
      </w:tblGrid>
      <w:tr w:rsidR="006152FB" w:rsidRPr="009E42ED" w14:paraId="013B8B33" w14:textId="77777777" w:rsidTr="0044065C">
        <w:tc>
          <w:tcPr>
            <w:tcW w:w="2518" w:type="dxa"/>
          </w:tcPr>
          <w:p w14:paraId="514B3FBE" w14:textId="0024684E" w:rsidR="006152FB" w:rsidRPr="004B5F09" w:rsidRDefault="00C80994" w:rsidP="00097787">
            <w:pPr>
              <w:spacing w:before="60" w:after="60" w:line="259" w:lineRule="auto"/>
              <w:rPr>
                <w:b/>
                <w:bCs/>
              </w:rPr>
            </w:pPr>
            <w:r>
              <w:rPr>
                <w:b/>
                <w:bCs/>
              </w:rPr>
              <w:t>Common</w:t>
            </w:r>
          </w:p>
        </w:tc>
        <w:tc>
          <w:tcPr>
            <w:tcW w:w="7234" w:type="dxa"/>
          </w:tcPr>
          <w:p w14:paraId="595384E8" w14:textId="0B976AD5" w:rsidR="006152FB" w:rsidRPr="000E6C1B" w:rsidRDefault="0069738F" w:rsidP="00097787">
            <w:pPr>
              <w:pStyle w:val="Table"/>
              <w:spacing w:before="60" w:after="60" w:line="259" w:lineRule="auto"/>
              <w:rPr>
                <w:color w:val="2D7E7D" w:themeColor="accent6" w:themeShade="BF"/>
              </w:rPr>
            </w:pPr>
            <w:hyperlink r:id="rId11" w:history="1">
              <w:r w:rsidRPr="000E6C1B">
                <w:rPr>
                  <w:rStyle w:val="Hyperlink"/>
                  <w:i/>
                  <w:iCs/>
                  <w:color w:val="2D7E7D" w:themeColor="accent6" w:themeShade="BF"/>
                </w:rPr>
                <w:t>Human Rights Act</w:t>
              </w:r>
              <w:r w:rsidRPr="000E6C1B">
                <w:rPr>
                  <w:rStyle w:val="Hyperlink"/>
                  <w:color w:val="2D7E7D" w:themeColor="accent6" w:themeShade="BF"/>
                </w:rPr>
                <w:t xml:space="preserve"> </w:t>
              </w:r>
              <w:r w:rsidRPr="000E6C1B">
                <w:rPr>
                  <w:rStyle w:val="Hyperlink"/>
                  <w:i/>
                  <w:iCs/>
                  <w:color w:val="2D7E7D" w:themeColor="accent6" w:themeShade="BF"/>
                </w:rPr>
                <w:t>20</w:t>
              </w:r>
              <w:r w:rsidR="00C003A7" w:rsidRPr="000E6C1B">
                <w:rPr>
                  <w:rStyle w:val="Hyperlink"/>
                  <w:i/>
                  <w:iCs/>
                  <w:color w:val="2D7E7D" w:themeColor="accent6" w:themeShade="BF"/>
                </w:rPr>
                <w:t>19</w:t>
              </w:r>
            </w:hyperlink>
          </w:p>
          <w:p w14:paraId="5865742C" w14:textId="5D52E151" w:rsidR="00C003A7" w:rsidRPr="00C003A7" w:rsidRDefault="00486114" w:rsidP="00097787">
            <w:pPr>
              <w:pStyle w:val="Table"/>
              <w:spacing w:before="60" w:after="60" w:line="259" w:lineRule="auto"/>
            </w:pPr>
            <w:r>
              <w:t xml:space="preserve">Department of Child Safety, Seniors and Disability Services </w:t>
            </w:r>
            <w:hyperlink r:id="rId12" w:history="1">
              <w:r w:rsidRPr="00486114">
                <w:rPr>
                  <w:rStyle w:val="Hyperlink"/>
                  <w:color w:val="2D7E7D" w:themeColor="accent6" w:themeShade="BF"/>
                </w:rPr>
                <w:t>Language Services Policy</w:t>
              </w:r>
            </w:hyperlink>
          </w:p>
          <w:p w14:paraId="4ED94BBE" w14:textId="616BAD2A" w:rsidR="00C003A7" w:rsidRDefault="00C003A7" w:rsidP="00097787">
            <w:pPr>
              <w:pStyle w:val="Table"/>
              <w:spacing w:before="60" w:after="60" w:line="259" w:lineRule="auto"/>
            </w:pPr>
          </w:p>
        </w:tc>
      </w:tr>
      <w:tr w:rsidR="0044065C" w:rsidRPr="009E42ED" w14:paraId="1183C014" w14:textId="77777777" w:rsidTr="0044065C">
        <w:tc>
          <w:tcPr>
            <w:tcW w:w="2518" w:type="dxa"/>
          </w:tcPr>
          <w:p w14:paraId="2E6D1207" w14:textId="77777777" w:rsidR="0044065C" w:rsidRPr="00700CA9" w:rsidRDefault="0044065C" w:rsidP="00097787">
            <w:pPr>
              <w:spacing w:before="60" w:after="60" w:line="259" w:lineRule="auto"/>
            </w:pPr>
            <w:r w:rsidRPr="004B5F09">
              <w:rPr>
                <w:b/>
                <w:bCs/>
              </w:rPr>
              <w:t>Child Protection Placement Services</w:t>
            </w:r>
            <w:r w:rsidRPr="00700CA9">
              <w:rPr>
                <w:rStyle w:val="FootnoteReference"/>
                <w:b/>
                <w:bCs/>
              </w:rPr>
              <w:footnoteReference w:id="3"/>
            </w:r>
          </w:p>
          <w:p w14:paraId="29595376" w14:textId="77777777" w:rsidR="0044065C" w:rsidRPr="00700CA9" w:rsidRDefault="0044065C" w:rsidP="00097787">
            <w:pPr>
              <w:spacing w:before="60" w:after="60" w:line="259" w:lineRule="auto"/>
              <w:rPr>
                <w:i/>
                <w:iCs/>
              </w:rPr>
            </w:pPr>
            <w:r w:rsidRPr="00700CA9">
              <w:rPr>
                <w:highlight w:val="yellow"/>
              </w:rPr>
              <w:t>Remove</w:t>
            </w:r>
            <w:r>
              <w:rPr>
                <w:highlight w:val="yellow"/>
              </w:rPr>
              <w:t xml:space="preserve"> row and/or stream(s)</w:t>
            </w:r>
            <w:r w:rsidRPr="00700CA9">
              <w:rPr>
                <w:highlight w:val="yellow"/>
              </w:rPr>
              <w:t xml:space="preserve"> if not required</w:t>
            </w:r>
          </w:p>
          <w:p w14:paraId="62E3AEB1" w14:textId="77777777" w:rsidR="0044065C" w:rsidRPr="00700CA9" w:rsidRDefault="0044065C" w:rsidP="00097787">
            <w:pPr>
              <w:spacing w:before="60" w:after="60" w:line="259" w:lineRule="auto"/>
            </w:pPr>
            <w:r w:rsidRPr="00700CA9">
              <w:rPr>
                <w:i/>
                <w:iCs/>
              </w:rPr>
              <w:t>Service Stream:</w:t>
            </w:r>
            <w:r w:rsidRPr="00700CA9">
              <w:rPr>
                <w:i/>
                <w:iCs/>
              </w:rPr>
              <w:br/>
            </w:r>
            <w:r w:rsidRPr="00700CA9">
              <w:t>Child and Family</w:t>
            </w:r>
          </w:p>
          <w:p w14:paraId="53B1B62C" w14:textId="77777777" w:rsidR="0044065C" w:rsidRDefault="0044065C" w:rsidP="00097787">
            <w:pPr>
              <w:spacing w:line="259" w:lineRule="auto"/>
            </w:pPr>
            <w:r w:rsidRPr="00700CA9">
              <w:t>Department:</w:t>
            </w:r>
            <w:r w:rsidRPr="00700CA9">
              <w:br/>
              <w:t>DCSSDS</w:t>
            </w:r>
          </w:p>
          <w:p w14:paraId="63A68D80" w14:textId="77777777" w:rsidR="0044065C" w:rsidRDefault="0044065C" w:rsidP="00097787">
            <w:pPr>
              <w:spacing w:line="259" w:lineRule="auto"/>
            </w:pPr>
            <w:r w:rsidRPr="00D847B4">
              <w:rPr>
                <w:highlight w:val="yellow"/>
              </w:rPr>
              <w:t>and/or</w:t>
            </w:r>
          </w:p>
          <w:p w14:paraId="078F4756" w14:textId="77777777" w:rsidR="0044065C" w:rsidRPr="004B5F09" w:rsidRDefault="0044065C" w:rsidP="00097787">
            <w:pPr>
              <w:spacing w:before="60" w:after="60" w:line="259" w:lineRule="auto"/>
              <w:rPr>
                <w:b/>
                <w:bCs/>
              </w:rPr>
            </w:pPr>
            <w:r w:rsidRPr="004B5F09">
              <w:rPr>
                <w:b/>
                <w:bCs/>
              </w:rPr>
              <w:t>Child Protection Support Services</w:t>
            </w:r>
          </w:p>
          <w:p w14:paraId="1EB06DEF" w14:textId="77777777" w:rsidR="0044065C" w:rsidRPr="00700CA9" w:rsidRDefault="0044065C" w:rsidP="00097787">
            <w:pPr>
              <w:spacing w:before="60" w:after="60" w:line="259" w:lineRule="auto"/>
            </w:pPr>
            <w:r w:rsidRPr="00700CA9">
              <w:rPr>
                <w:i/>
                <w:iCs/>
              </w:rPr>
              <w:lastRenderedPageBreak/>
              <w:t>Service Stream:</w:t>
            </w:r>
            <w:r w:rsidRPr="00700CA9">
              <w:rPr>
                <w:i/>
                <w:iCs/>
              </w:rPr>
              <w:br/>
            </w:r>
            <w:r w:rsidRPr="00700CA9">
              <w:t>Child and Family</w:t>
            </w:r>
          </w:p>
          <w:p w14:paraId="71762C6F" w14:textId="77777777" w:rsidR="0044065C" w:rsidRDefault="0044065C" w:rsidP="00097787">
            <w:pPr>
              <w:spacing w:line="259" w:lineRule="auto"/>
            </w:pPr>
            <w:r w:rsidRPr="00700CA9">
              <w:t>Department:</w:t>
            </w:r>
            <w:r w:rsidRPr="00700CA9">
              <w:br/>
              <w:t>DCSSDS</w:t>
            </w:r>
          </w:p>
          <w:p w14:paraId="5D938A85" w14:textId="77777777" w:rsidR="0044065C" w:rsidRDefault="0044065C" w:rsidP="00097787">
            <w:pPr>
              <w:spacing w:line="259" w:lineRule="auto"/>
            </w:pPr>
            <w:r w:rsidRPr="008040E4">
              <w:rPr>
                <w:highlight w:val="yellow"/>
              </w:rPr>
              <w:t>and/or</w:t>
            </w:r>
          </w:p>
          <w:p w14:paraId="0035F540" w14:textId="77777777" w:rsidR="0044065C" w:rsidRPr="00700CA9" w:rsidRDefault="0044065C" w:rsidP="00097787">
            <w:pPr>
              <w:spacing w:before="60" w:after="60" w:line="259" w:lineRule="auto"/>
            </w:pPr>
            <w:r w:rsidRPr="004B5F09">
              <w:rPr>
                <w:b/>
                <w:bCs/>
              </w:rPr>
              <w:t>Families</w:t>
            </w:r>
          </w:p>
          <w:p w14:paraId="310E3F10" w14:textId="77777777" w:rsidR="0044065C" w:rsidRPr="00700CA9" w:rsidRDefault="0044065C" w:rsidP="00097787">
            <w:pPr>
              <w:spacing w:before="60" w:after="60" w:line="259" w:lineRule="auto"/>
            </w:pPr>
            <w:r w:rsidRPr="00700CA9">
              <w:rPr>
                <w:i/>
                <w:iCs/>
              </w:rPr>
              <w:t>Service Stream:</w:t>
            </w:r>
            <w:r w:rsidRPr="00700CA9">
              <w:rPr>
                <w:i/>
                <w:iCs/>
              </w:rPr>
              <w:br/>
            </w:r>
            <w:r w:rsidRPr="00700CA9">
              <w:t>Child and Family</w:t>
            </w:r>
          </w:p>
          <w:p w14:paraId="0A96261A" w14:textId="77777777" w:rsidR="0044065C" w:rsidRPr="00FD10A8" w:rsidRDefault="0044065C" w:rsidP="00097787">
            <w:pPr>
              <w:spacing w:line="259" w:lineRule="auto"/>
            </w:pPr>
            <w:r w:rsidRPr="00700CA9">
              <w:t>Department:</w:t>
            </w:r>
            <w:r w:rsidRPr="00700CA9">
              <w:br/>
              <w:t>DCSSDS</w:t>
            </w:r>
          </w:p>
        </w:tc>
        <w:tc>
          <w:tcPr>
            <w:tcW w:w="7234" w:type="dxa"/>
          </w:tcPr>
          <w:p w14:paraId="3D407AC7" w14:textId="6B6EA1A4" w:rsidR="0044065C" w:rsidRPr="007C3886" w:rsidRDefault="0044065C" w:rsidP="00097787">
            <w:pPr>
              <w:pStyle w:val="Table"/>
              <w:spacing w:before="60" w:after="60" w:line="259" w:lineRule="auto"/>
              <w:rPr>
                <w:i/>
                <w:iCs/>
                <w:color w:val="2D7E7D" w:themeColor="accent6" w:themeShade="BF"/>
              </w:rPr>
            </w:pPr>
            <w:hyperlink r:id="rId13" w:history="1">
              <w:r w:rsidRPr="00700CA9">
                <w:rPr>
                  <w:rStyle w:val="Hyperlink"/>
                  <w:i/>
                  <w:iCs/>
                  <w:color w:val="2D7E7D" w:themeColor="accent6" w:themeShade="BF"/>
                </w:rPr>
                <w:t>Child Protection Act 1999</w:t>
              </w:r>
            </w:hyperlink>
            <w:r w:rsidR="00414B4A" w:rsidRPr="00D813F8">
              <w:rPr>
                <w:color w:val="2D7E7D" w:themeColor="accent6" w:themeShade="BF"/>
              </w:rPr>
              <w:t xml:space="preserve"> </w:t>
            </w:r>
            <w:r w:rsidR="00414B4A">
              <w:t xml:space="preserve">(particularly sections </w:t>
            </w:r>
            <w:hyperlink r:id="rId14" w:history="1">
              <w:r w:rsidR="00414B4A" w:rsidRPr="00172C78">
                <w:rPr>
                  <w:rStyle w:val="Hyperlink"/>
                  <w:color w:val="2D7E7D" w:themeColor="accent6" w:themeShade="BF"/>
                </w:rPr>
                <w:t>75 Transition to Independence</w:t>
              </w:r>
            </w:hyperlink>
            <w:r w:rsidR="00414B4A">
              <w:t xml:space="preserve"> and </w:t>
            </w:r>
            <w:hyperlink r:id="rId15" w:history="1">
              <w:r w:rsidR="00414B4A" w:rsidRPr="008F7A74">
                <w:rPr>
                  <w:rStyle w:val="Hyperlink"/>
                  <w:color w:val="2D7E7D" w:themeColor="accent6" w:themeShade="BF"/>
                </w:rPr>
                <w:t>122 Statement of Standards</w:t>
              </w:r>
            </w:hyperlink>
            <w:r w:rsidR="00414B4A">
              <w:t>)</w:t>
            </w:r>
          </w:p>
          <w:p w14:paraId="5B55F9E5" w14:textId="77777777" w:rsidR="0044065C" w:rsidRPr="00765AF0" w:rsidRDefault="0044065C" w:rsidP="00097787">
            <w:pPr>
              <w:pStyle w:val="Table"/>
              <w:spacing w:before="60" w:after="60" w:line="259" w:lineRule="auto"/>
              <w:rPr>
                <w:iCs/>
              </w:rPr>
            </w:pPr>
            <w:r w:rsidRPr="00765AF0">
              <w:rPr>
                <w:iCs/>
              </w:rPr>
              <w:t xml:space="preserve">Department of Child Safety, Seniors and Disability Services </w:t>
            </w:r>
            <w:hyperlink r:id="rId16" w:history="1">
              <w:r w:rsidRPr="00765AF0">
                <w:rPr>
                  <w:rStyle w:val="Hyperlink"/>
                  <w:iCs/>
                  <w:color w:val="2D7E7D" w:themeColor="accent6" w:themeShade="BF"/>
                </w:rPr>
                <w:t>Service Agreement – Funding and Service Details (Child Safety and Youth)</w:t>
              </w:r>
            </w:hyperlink>
          </w:p>
          <w:p w14:paraId="0C60A37B" w14:textId="77777777" w:rsidR="0044065C" w:rsidRPr="00BF2A1E" w:rsidRDefault="0044065C" w:rsidP="00097787">
            <w:pPr>
              <w:pStyle w:val="Table"/>
              <w:spacing w:before="60" w:after="60" w:line="259" w:lineRule="auto"/>
              <w:rPr>
                <w:iCs/>
              </w:rPr>
            </w:pPr>
            <w:r w:rsidRPr="00C424F7">
              <w:rPr>
                <w:iCs/>
              </w:rPr>
              <w:t xml:space="preserve">Queensland Aboriginal and Torres Strait Islander Child Protection Peak Limited (QATSICPP) </w:t>
            </w:r>
            <w:hyperlink r:id="rId17" w:history="1">
              <w:r w:rsidRPr="00BF2A1E">
                <w:rPr>
                  <w:rStyle w:val="Hyperlink"/>
                  <w:iCs/>
                  <w:color w:val="2D7E7D" w:themeColor="accent6" w:themeShade="BF"/>
                </w:rPr>
                <w:t>Practice Standards</w:t>
              </w:r>
            </w:hyperlink>
          </w:p>
          <w:p w14:paraId="726C5EA0" w14:textId="77777777" w:rsidR="0044065C" w:rsidRPr="00BF2A1E" w:rsidRDefault="0044065C" w:rsidP="00097787">
            <w:pPr>
              <w:spacing w:line="259" w:lineRule="auto"/>
              <w:rPr>
                <w:color w:val="2D7E7D" w:themeColor="accent6" w:themeShade="BF"/>
              </w:rPr>
            </w:pPr>
            <w:r w:rsidRPr="00BF2A1E">
              <w:t xml:space="preserve">Queensland Government </w:t>
            </w:r>
            <w:hyperlink r:id="rId18" w:history="1">
              <w:r w:rsidRPr="00BF2A1E">
                <w:rPr>
                  <w:rStyle w:val="Hyperlink"/>
                  <w:color w:val="2D7E7D" w:themeColor="accent6" w:themeShade="BF"/>
                </w:rPr>
                <w:t>Child Safety Practice Manual</w:t>
              </w:r>
            </w:hyperlink>
          </w:p>
          <w:p w14:paraId="6F650528" w14:textId="532A4E07" w:rsidR="00531A40" w:rsidRPr="008F7A74" w:rsidRDefault="0044065C" w:rsidP="008F7A74">
            <w:pPr>
              <w:pStyle w:val="Table"/>
              <w:spacing w:before="60" w:after="60" w:line="259" w:lineRule="auto"/>
              <w:rPr>
                <w:color w:val="2D7E7D" w:themeColor="accent6" w:themeShade="BF"/>
                <w:u w:val="single"/>
              </w:rPr>
            </w:pPr>
            <w:r w:rsidRPr="00BF2A1E">
              <w:t xml:space="preserve">Queensland Government </w:t>
            </w:r>
            <w:hyperlink r:id="rId19" w:history="1">
              <w:r w:rsidRPr="00BF2A1E">
                <w:rPr>
                  <w:rStyle w:val="Hyperlink"/>
                  <w:color w:val="2D7E7D" w:themeColor="accent6" w:themeShade="BF"/>
                </w:rPr>
                <w:t>Domestic and Family Violence: Common Risk and Safety Framework</w:t>
              </w:r>
            </w:hyperlink>
          </w:p>
        </w:tc>
      </w:tr>
      <w:tr w:rsidR="0044065C" w:rsidRPr="00D23A88" w14:paraId="14F4E341" w14:textId="77777777" w:rsidTr="0044065C">
        <w:tc>
          <w:tcPr>
            <w:tcW w:w="2518" w:type="dxa"/>
          </w:tcPr>
          <w:p w14:paraId="066C6C27" w14:textId="77777777" w:rsidR="0044065C" w:rsidRDefault="0044065C" w:rsidP="00097787">
            <w:pPr>
              <w:spacing w:before="60" w:after="60" w:line="259" w:lineRule="auto"/>
              <w:rPr>
                <w:b/>
                <w:bCs/>
              </w:rPr>
            </w:pPr>
            <w:r>
              <w:rPr>
                <w:highlight w:val="yellow"/>
              </w:rPr>
              <w:t xml:space="preserve">Delete row </w:t>
            </w:r>
            <w:r w:rsidRPr="00700CA9">
              <w:rPr>
                <w:highlight w:val="yellow"/>
              </w:rPr>
              <w:t>if not required</w:t>
            </w:r>
          </w:p>
          <w:p w14:paraId="087DC014" w14:textId="77777777" w:rsidR="0044065C" w:rsidRPr="004B5F09" w:rsidRDefault="0044065C" w:rsidP="00097787">
            <w:pPr>
              <w:spacing w:before="60" w:after="60" w:line="259" w:lineRule="auto"/>
              <w:rPr>
                <w:b/>
                <w:bCs/>
              </w:rPr>
            </w:pPr>
            <w:r w:rsidRPr="004B5F09">
              <w:rPr>
                <w:b/>
                <w:bCs/>
              </w:rPr>
              <w:t>Domestic and Family Violence</w:t>
            </w:r>
          </w:p>
          <w:p w14:paraId="5B3E83AC" w14:textId="77777777" w:rsidR="0044065C" w:rsidRPr="00700CA9" w:rsidRDefault="0044065C" w:rsidP="00097787">
            <w:pPr>
              <w:spacing w:before="60" w:after="60" w:line="259" w:lineRule="auto"/>
              <w:rPr>
                <w:i/>
                <w:iCs/>
              </w:rPr>
            </w:pPr>
            <w:r w:rsidRPr="00700CA9">
              <w:rPr>
                <w:i/>
                <w:iCs/>
              </w:rPr>
              <w:t>Service Stream:</w:t>
            </w:r>
            <w:r w:rsidRPr="00700CA9">
              <w:rPr>
                <w:i/>
                <w:iCs/>
              </w:rPr>
              <w:br/>
            </w:r>
            <w:r w:rsidRPr="00700CA9">
              <w:t>Women’s Safety and Violence Prevention Services</w:t>
            </w:r>
          </w:p>
          <w:p w14:paraId="084E5779" w14:textId="77777777" w:rsidR="0044065C" w:rsidRPr="00FD10A8" w:rsidRDefault="0044065C" w:rsidP="00097787">
            <w:pPr>
              <w:spacing w:line="259" w:lineRule="auto"/>
            </w:pPr>
            <w:r w:rsidRPr="00700CA9">
              <w:t>Services Department: DJAG</w:t>
            </w:r>
          </w:p>
        </w:tc>
        <w:tc>
          <w:tcPr>
            <w:tcW w:w="7234" w:type="dxa"/>
          </w:tcPr>
          <w:p w14:paraId="407E6558" w14:textId="77777777" w:rsidR="0044065C" w:rsidRDefault="0044065C" w:rsidP="00097787">
            <w:pPr>
              <w:pStyle w:val="Table"/>
              <w:spacing w:before="60" w:after="60" w:line="259" w:lineRule="auto"/>
              <w:rPr>
                <w:rStyle w:val="Hyperlink"/>
                <w:i/>
                <w:iCs/>
                <w:color w:val="2D7E7D" w:themeColor="accent6" w:themeShade="BF"/>
              </w:rPr>
            </w:pPr>
            <w:hyperlink r:id="rId20" w:history="1">
              <w:r w:rsidRPr="00700CA9">
                <w:rPr>
                  <w:rStyle w:val="Hyperlink"/>
                  <w:i/>
                  <w:iCs/>
                  <w:color w:val="2D7E7D" w:themeColor="accent6" w:themeShade="BF"/>
                </w:rPr>
                <w:t>Child Protection Act 1999</w:t>
              </w:r>
            </w:hyperlink>
          </w:p>
          <w:p w14:paraId="54C9F612" w14:textId="74F97A7D" w:rsidR="00C003A7" w:rsidRPr="00076D5B" w:rsidRDefault="00C003A7" w:rsidP="00097787">
            <w:pPr>
              <w:pStyle w:val="Table"/>
              <w:spacing w:before="60" w:after="60" w:line="259" w:lineRule="auto"/>
              <w:rPr>
                <w:i/>
                <w:iCs/>
                <w:color w:val="2D7E7D" w:themeColor="accent6" w:themeShade="BF"/>
              </w:rPr>
            </w:pPr>
            <w:hyperlink r:id="rId21" w:history="1">
              <w:r w:rsidRPr="00076D5B">
                <w:rPr>
                  <w:rStyle w:val="Hyperlink"/>
                  <w:i/>
                  <w:iCs/>
                  <w:color w:val="2D7E7D" w:themeColor="accent6" w:themeShade="BF"/>
                </w:rPr>
                <w:t>Domestic and Family Violence Protection Act 2012</w:t>
              </w:r>
            </w:hyperlink>
          </w:p>
          <w:p w14:paraId="2C4EE19D" w14:textId="77777777" w:rsidR="0044065C" w:rsidRDefault="0044065C" w:rsidP="00097787">
            <w:pPr>
              <w:pStyle w:val="Table"/>
              <w:spacing w:before="60" w:after="60" w:line="259" w:lineRule="auto"/>
            </w:pPr>
            <w:r>
              <w:t xml:space="preserve">Queensland Government </w:t>
            </w:r>
            <w:hyperlink r:id="rId22" w:history="1">
              <w:r w:rsidRPr="00C70FB2">
                <w:rPr>
                  <w:rStyle w:val="Hyperlink"/>
                  <w:color w:val="2D7E7D" w:themeColor="accent6" w:themeShade="BF"/>
                </w:rPr>
                <w:t>Domestic and Family Violence: Common Risk and Safety Framework</w:t>
              </w:r>
            </w:hyperlink>
          </w:p>
          <w:p w14:paraId="42776EA2" w14:textId="77777777" w:rsidR="0044065C" w:rsidRPr="00700CA9" w:rsidRDefault="0044065C" w:rsidP="00097787">
            <w:pPr>
              <w:pStyle w:val="Table"/>
              <w:spacing w:before="60" w:after="60" w:line="259" w:lineRule="auto"/>
            </w:pPr>
            <w:r w:rsidRPr="00700CA9">
              <w:t xml:space="preserve">Queensland Government </w:t>
            </w:r>
            <w:hyperlink r:id="rId23" w:history="1">
              <w:r w:rsidRPr="00700CA9">
                <w:rPr>
                  <w:rStyle w:val="Hyperlink"/>
                  <w:color w:val="2D7E7D" w:themeColor="accent6" w:themeShade="BF"/>
                </w:rPr>
                <w:t>Domestic and Family Violence Services: Practice Principles, Standards and Guidance</w:t>
              </w:r>
            </w:hyperlink>
            <w:r w:rsidRPr="00700CA9">
              <w:t xml:space="preserve"> </w:t>
            </w:r>
          </w:p>
          <w:p w14:paraId="7ADC1BEF" w14:textId="77777777" w:rsidR="0044065C" w:rsidRPr="00700CA9" w:rsidRDefault="0044065C" w:rsidP="00097787">
            <w:pPr>
              <w:pStyle w:val="Table"/>
              <w:spacing w:before="60" w:after="60" w:line="259" w:lineRule="auto"/>
              <w:rPr>
                <w:rFonts w:asciiTheme="majorHAnsi" w:hAnsiTheme="majorHAnsi" w:cstheme="majorHAnsi"/>
                <w:i/>
                <w:iCs/>
                <w:u w:val="single"/>
              </w:rPr>
            </w:pPr>
            <w:r w:rsidRPr="00700CA9">
              <w:rPr>
                <w:rFonts w:asciiTheme="majorHAnsi" w:hAnsiTheme="majorHAnsi" w:cstheme="majorHAnsi"/>
                <w:iCs/>
              </w:rPr>
              <w:t xml:space="preserve">Queensland Government </w:t>
            </w:r>
            <w:hyperlink r:id="rId24" w:history="1">
              <w:r w:rsidRPr="00EF2DBE">
                <w:rPr>
                  <w:rFonts w:asciiTheme="majorHAnsi" w:hAnsiTheme="majorHAnsi" w:cstheme="majorHAnsi"/>
                  <w:color w:val="2D7E7D" w:themeColor="accent6" w:themeShade="BF"/>
                  <w:u w:val="single"/>
                </w:rPr>
                <w:t>Domestic and Family Violence Services Regulatory Framework</w:t>
              </w:r>
            </w:hyperlink>
          </w:p>
          <w:p w14:paraId="53B2FF31" w14:textId="5940DD83" w:rsidR="0044065C" w:rsidRPr="00712003" w:rsidRDefault="0044065C" w:rsidP="00097787">
            <w:pPr>
              <w:pStyle w:val="Table"/>
              <w:spacing w:before="60" w:after="60" w:line="259" w:lineRule="auto"/>
            </w:pPr>
            <w:r w:rsidRPr="00700CA9">
              <w:t xml:space="preserve">Queensland Government </w:t>
            </w:r>
            <w:hyperlink r:id="rId25" w:history="1">
              <w:r w:rsidRPr="00700CA9">
                <w:rPr>
                  <w:rStyle w:val="Hyperlink"/>
                  <w:color w:val="2D7E7D" w:themeColor="accent6" w:themeShade="BF"/>
                </w:rPr>
                <w:t>Domestic and Family Violence Support Services Investment Specification</w:t>
              </w:r>
            </w:hyperlink>
          </w:p>
        </w:tc>
      </w:tr>
      <w:tr w:rsidR="0044065C" w:rsidRPr="00E44B94" w14:paraId="0DCE8A8D" w14:textId="77777777" w:rsidTr="0044065C">
        <w:tc>
          <w:tcPr>
            <w:tcW w:w="2518" w:type="dxa"/>
          </w:tcPr>
          <w:p w14:paraId="11BEF009" w14:textId="77777777" w:rsidR="0044065C" w:rsidRDefault="0044065C" w:rsidP="00097787">
            <w:pPr>
              <w:spacing w:before="60" w:after="60" w:line="259" w:lineRule="auto"/>
              <w:rPr>
                <w:b/>
                <w:bCs/>
              </w:rPr>
            </w:pPr>
            <w:r>
              <w:rPr>
                <w:highlight w:val="yellow"/>
              </w:rPr>
              <w:t xml:space="preserve">Delete row </w:t>
            </w:r>
            <w:r w:rsidRPr="00700CA9">
              <w:rPr>
                <w:highlight w:val="yellow"/>
              </w:rPr>
              <w:t>if not required</w:t>
            </w:r>
          </w:p>
          <w:p w14:paraId="650B3E51" w14:textId="77777777" w:rsidR="0044065C" w:rsidRPr="004B5F09" w:rsidRDefault="0044065C" w:rsidP="00097787">
            <w:pPr>
              <w:spacing w:before="60" w:after="60" w:line="259" w:lineRule="auto"/>
              <w:rPr>
                <w:b/>
                <w:bCs/>
              </w:rPr>
            </w:pPr>
            <w:r w:rsidRPr="004B5F09">
              <w:rPr>
                <w:b/>
                <w:bCs/>
              </w:rPr>
              <w:t>Sexual Violence and Women’s Support</w:t>
            </w:r>
          </w:p>
          <w:p w14:paraId="7B629A57" w14:textId="77777777" w:rsidR="0044065C" w:rsidRPr="00700CA9" w:rsidRDefault="0044065C" w:rsidP="00097787">
            <w:pPr>
              <w:spacing w:before="60" w:after="60" w:line="259" w:lineRule="auto"/>
            </w:pPr>
            <w:r w:rsidRPr="00700CA9">
              <w:rPr>
                <w:i/>
                <w:iCs/>
              </w:rPr>
              <w:t>Service Stream:</w:t>
            </w:r>
            <w:r w:rsidRPr="00700CA9">
              <w:rPr>
                <w:i/>
                <w:iCs/>
              </w:rPr>
              <w:br/>
            </w:r>
            <w:r w:rsidRPr="00700CA9">
              <w:t>Women’s Safety and Violence Prevention Services</w:t>
            </w:r>
          </w:p>
          <w:p w14:paraId="10C7F18C" w14:textId="77777777" w:rsidR="0044065C" w:rsidRPr="00FD10A8" w:rsidRDefault="0044065C" w:rsidP="00097787">
            <w:pPr>
              <w:spacing w:line="259" w:lineRule="auto"/>
            </w:pPr>
            <w:r w:rsidRPr="00700CA9">
              <w:t>Department:</w:t>
            </w:r>
            <w:r w:rsidRPr="00700CA9">
              <w:br/>
              <w:t>DJAG</w:t>
            </w:r>
          </w:p>
        </w:tc>
        <w:tc>
          <w:tcPr>
            <w:tcW w:w="7234" w:type="dxa"/>
          </w:tcPr>
          <w:p w14:paraId="618A37BD" w14:textId="77777777" w:rsidR="0044065C" w:rsidRPr="00700CA9" w:rsidRDefault="0044065C" w:rsidP="00097787">
            <w:pPr>
              <w:pStyle w:val="Table"/>
              <w:spacing w:before="60" w:after="60" w:line="259" w:lineRule="auto"/>
            </w:pPr>
            <w:r w:rsidRPr="00700CA9">
              <w:t xml:space="preserve">Queensland Government </w:t>
            </w:r>
            <w:hyperlink r:id="rId26" w:history="1">
              <w:r w:rsidRPr="00700CA9">
                <w:rPr>
                  <w:rStyle w:val="Hyperlink"/>
                  <w:color w:val="2D7E7D" w:themeColor="accent6" w:themeShade="BF"/>
                </w:rPr>
                <w:t>Sexual Violence and Women’s Support Services Investment Specification</w:t>
              </w:r>
            </w:hyperlink>
          </w:p>
          <w:p w14:paraId="0E892A20" w14:textId="77777777" w:rsidR="0044065C" w:rsidRPr="00700CA9" w:rsidRDefault="0044065C" w:rsidP="00097787">
            <w:pPr>
              <w:pStyle w:val="Table"/>
              <w:spacing w:before="60" w:after="60" w:line="259" w:lineRule="auto"/>
              <w:rPr>
                <w:i/>
              </w:rPr>
            </w:pPr>
            <w:r w:rsidRPr="00700CA9">
              <w:t>Queensland Government</w:t>
            </w:r>
            <w:r w:rsidRPr="00700CA9">
              <w:rPr>
                <w:i/>
              </w:rPr>
              <w:t xml:space="preserve"> </w:t>
            </w:r>
            <w:hyperlink r:id="rId27" w:history="1">
              <w:r w:rsidRPr="00700CA9">
                <w:rPr>
                  <w:rStyle w:val="Hyperlink"/>
                  <w:iCs/>
                  <w:color w:val="2D7E7D" w:themeColor="accent6" w:themeShade="BF"/>
                </w:rPr>
                <w:t>Queensland Government</w:t>
              </w:r>
              <w:r w:rsidRPr="00700CA9">
                <w:rPr>
                  <w:rStyle w:val="Hyperlink"/>
                  <w:i/>
                  <w:color w:val="2D7E7D" w:themeColor="accent6" w:themeShade="BF"/>
                </w:rPr>
                <w:t xml:space="preserve"> </w:t>
              </w:r>
              <w:r w:rsidRPr="00700CA9">
                <w:rPr>
                  <w:rStyle w:val="Hyperlink"/>
                  <w:iCs/>
                  <w:color w:val="2D7E7D" w:themeColor="accent6" w:themeShade="BF"/>
                </w:rPr>
                <w:t>Interagency Guidelines</w:t>
              </w:r>
              <w:r w:rsidRPr="00700CA9">
                <w:rPr>
                  <w:rStyle w:val="Hyperlink"/>
                  <w:i/>
                  <w:color w:val="2D7E7D" w:themeColor="accent6" w:themeShade="BF"/>
                </w:rPr>
                <w:t xml:space="preserve"> </w:t>
              </w:r>
              <w:r w:rsidRPr="00700CA9">
                <w:rPr>
                  <w:rStyle w:val="Hyperlink"/>
                  <w:color w:val="2D7E7D" w:themeColor="accent6" w:themeShade="BF"/>
                </w:rPr>
                <w:t xml:space="preserve">for </w:t>
              </w:r>
              <w:r>
                <w:rPr>
                  <w:rStyle w:val="Hyperlink"/>
                  <w:color w:val="2D7E7D" w:themeColor="accent6" w:themeShade="BF"/>
                </w:rPr>
                <w:t>R</w:t>
              </w:r>
              <w:r w:rsidRPr="00700CA9">
                <w:rPr>
                  <w:rStyle w:val="Hyperlink"/>
                  <w:color w:val="2D7E7D" w:themeColor="accent6" w:themeShade="BF"/>
                </w:rPr>
                <w:t>esponding to People who have Experienced Sexual Assault</w:t>
              </w:r>
            </w:hyperlink>
          </w:p>
          <w:p w14:paraId="3F21C6A5" w14:textId="77777777" w:rsidR="0044065C" w:rsidRPr="00E44B94" w:rsidRDefault="0044065C" w:rsidP="00097787">
            <w:pPr>
              <w:spacing w:line="259" w:lineRule="auto"/>
              <w:rPr>
                <w:i/>
                <w:iCs/>
                <w:color w:val="2D7E7D" w:themeColor="accent6" w:themeShade="BF"/>
              </w:rPr>
            </w:pPr>
            <w:r w:rsidRPr="00700CA9">
              <w:t xml:space="preserve">National Association of Services Against Sexual Violence </w:t>
            </w:r>
            <w:hyperlink r:id="rId28" w:history="1">
              <w:r w:rsidRPr="00383FD2">
                <w:rPr>
                  <w:rStyle w:val="Hyperlink"/>
                  <w:color w:val="2D7E7D" w:themeColor="accent6" w:themeShade="BF"/>
                </w:rPr>
                <w:t>Standards of Practice Manual for Services Against Sexual Violence (3</w:t>
              </w:r>
              <w:r w:rsidRPr="00383FD2">
                <w:rPr>
                  <w:rStyle w:val="Hyperlink"/>
                  <w:color w:val="2D7E7D" w:themeColor="accent6" w:themeShade="BF"/>
                  <w:vertAlign w:val="superscript"/>
                </w:rPr>
                <w:t>rd</w:t>
              </w:r>
              <w:r w:rsidRPr="00383FD2">
                <w:rPr>
                  <w:rStyle w:val="Hyperlink"/>
                  <w:color w:val="2D7E7D" w:themeColor="accent6" w:themeShade="BF"/>
                </w:rPr>
                <w:t xml:space="preserve"> ed)</w:t>
              </w:r>
            </w:hyperlink>
            <w:r w:rsidRPr="00AA7AF0">
              <w:rPr>
                <w:rStyle w:val="Hyperlink"/>
                <w:color w:val="auto"/>
                <w:u w:val="none"/>
              </w:rPr>
              <w:t xml:space="preserve"> (</w:t>
            </w:r>
            <w:r>
              <w:rPr>
                <w:rStyle w:val="Hyperlink"/>
                <w:color w:val="auto"/>
                <w:u w:val="none"/>
              </w:rPr>
              <w:t>particularly standard 6.4)</w:t>
            </w:r>
          </w:p>
        </w:tc>
      </w:tr>
      <w:tr w:rsidR="0044065C" w:rsidRPr="00D61DEF" w14:paraId="5BD406D9" w14:textId="77777777" w:rsidTr="0044065C">
        <w:tc>
          <w:tcPr>
            <w:tcW w:w="2518" w:type="dxa"/>
          </w:tcPr>
          <w:p w14:paraId="47A5F832" w14:textId="77777777" w:rsidR="0044065C" w:rsidRDefault="0044065C" w:rsidP="00097787">
            <w:pPr>
              <w:spacing w:before="60" w:after="60" w:line="259" w:lineRule="auto"/>
              <w:rPr>
                <w:b/>
                <w:bCs/>
              </w:rPr>
            </w:pPr>
            <w:r>
              <w:rPr>
                <w:highlight w:val="yellow"/>
              </w:rPr>
              <w:t xml:space="preserve">Delete row </w:t>
            </w:r>
            <w:r w:rsidRPr="00700CA9">
              <w:rPr>
                <w:highlight w:val="yellow"/>
              </w:rPr>
              <w:t>if not required</w:t>
            </w:r>
          </w:p>
          <w:p w14:paraId="452F801D" w14:textId="77777777" w:rsidR="0044065C" w:rsidRPr="00A01773" w:rsidRDefault="0044065C" w:rsidP="00097787">
            <w:pPr>
              <w:spacing w:line="259" w:lineRule="auto"/>
              <w:rPr>
                <w:b/>
                <w:bCs/>
              </w:rPr>
            </w:pPr>
            <w:r w:rsidRPr="00A01773">
              <w:rPr>
                <w:b/>
                <w:bCs/>
              </w:rPr>
              <w:t>Disability Services</w:t>
            </w:r>
          </w:p>
          <w:p w14:paraId="4A52AC3B" w14:textId="77777777" w:rsidR="0044065C" w:rsidRPr="00FD10A8" w:rsidRDefault="0044065C" w:rsidP="00097787">
            <w:pPr>
              <w:spacing w:line="259" w:lineRule="auto"/>
            </w:pPr>
            <w:r w:rsidRPr="00DD6524">
              <w:t>Department:</w:t>
            </w:r>
            <w:r>
              <w:br/>
              <w:t>DCSSDS</w:t>
            </w:r>
          </w:p>
        </w:tc>
        <w:tc>
          <w:tcPr>
            <w:tcW w:w="7234" w:type="dxa"/>
          </w:tcPr>
          <w:p w14:paraId="60A62926" w14:textId="77777777" w:rsidR="0044065C" w:rsidRDefault="0044065C" w:rsidP="00097787">
            <w:pPr>
              <w:spacing w:line="259" w:lineRule="auto"/>
              <w:ind w:left="360" w:hanging="360"/>
              <w:rPr>
                <w:rStyle w:val="Hyperlink"/>
                <w:i/>
                <w:iCs/>
                <w:color w:val="2D7E7D" w:themeColor="accent6" w:themeShade="BF"/>
              </w:rPr>
            </w:pPr>
            <w:hyperlink r:id="rId29" w:history="1">
              <w:r w:rsidRPr="00E44B94">
                <w:rPr>
                  <w:rStyle w:val="Hyperlink"/>
                  <w:i/>
                  <w:iCs/>
                  <w:color w:val="2D7E7D" w:themeColor="accent6" w:themeShade="BF"/>
                </w:rPr>
                <w:t>Disability Services Act 2006</w:t>
              </w:r>
            </w:hyperlink>
          </w:p>
          <w:p w14:paraId="61858F36" w14:textId="77777777" w:rsidR="0044065C" w:rsidRPr="00D61DEF" w:rsidRDefault="0044065C" w:rsidP="00097787">
            <w:pPr>
              <w:spacing w:line="259" w:lineRule="auto"/>
              <w:ind w:left="360" w:hanging="360"/>
              <w:rPr>
                <w:i/>
                <w:iCs/>
                <w:color w:val="2D7E7D" w:themeColor="accent6" w:themeShade="BF"/>
              </w:rPr>
            </w:pPr>
            <w:hyperlink r:id="rId30" w:history="1">
              <w:r w:rsidRPr="001C7D49">
                <w:rPr>
                  <w:rStyle w:val="Hyperlink"/>
                  <w:i/>
                  <w:iCs/>
                  <w:color w:val="2D7E7D" w:themeColor="accent6" w:themeShade="BF"/>
                </w:rPr>
                <w:t>Disability Services Regulation 2017</w:t>
              </w:r>
            </w:hyperlink>
          </w:p>
        </w:tc>
      </w:tr>
    </w:tbl>
    <w:p w14:paraId="3299717D" w14:textId="4FF83DBE" w:rsidR="0022039C" w:rsidRDefault="0022039C" w:rsidP="003D030A">
      <w:pPr>
        <w:pStyle w:val="Heading1"/>
        <w:rPr>
          <w:rFonts w:eastAsia="Muli"/>
        </w:rPr>
      </w:pPr>
      <w:r w:rsidRPr="00700CA9">
        <w:rPr>
          <w:rFonts w:eastAsia="Muli"/>
        </w:rPr>
        <w:t>Definitions</w:t>
      </w:r>
    </w:p>
    <w:p w14:paraId="37B4F6D8" w14:textId="7F50192E" w:rsidR="00437C17" w:rsidRPr="002B7BF5" w:rsidRDefault="00437C17" w:rsidP="003D030A">
      <w:r w:rsidRPr="00727ED6">
        <w:rPr>
          <w:highlight w:val="green"/>
        </w:rPr>
        <w:t>Add definitions relevant to your organisation</w:t>
      </w:r>
      <w:r w:rsidR="00727ED6" w:rsidRPr="00727ED6">
        <w:rPr>
          <w:highlight w:val="green"/>
        </w:rPr>
        <w:t xml:space="preserve">’s </w:t>
      </w:r>
      <w:r w:rsidR="00F61E23">
        <w:rPr>
          <w:highlight w:val="green"/>
        </w:rPr>
        <w:t>approach</w:t>
      </w:r>
      <w:r w:rsidR="00727ED6" w:rsidRPr="00727ED6">
        <w:rPr>
          <w:highlight w:val="green"/>
        </w:rPr>
        <w:t>.</w:t>
      </w:r>
    </w:p>
    <w:p w14:paraId="228A5E6F" w14:textId="04D5C26A" w:rsidR="0022039C" w:rsidRPr="00700CA9" w:rsidRDefault="0022039C" w:rsidP="003D030A">
      <w:pPr>
        <w:pStyle w:val="Heading1"/>
        <w:rPr>
          <w:rFonts w:eastAsia="Muli"/>
          <w:szCs w:val="36"/>
        </w:rPr>
      </w:pPr>
      <w:r w:rsidRPr="00700CA9">
        <w:rPr>
          <w:rFonts w:eastAsia="Muli"/>
        </w:rPr>
        <w:t xml:space="preserve">Principles </w:t>
      </w:r>
    </w:p>
    <w:p w14:paraId="366F03E1" w14:textId="29F38B28" w:rsidR="00C00B6D" w:rsidRDefault="00C00B6D" w:rsidP="003D030A">
      <w:r w:rsidRPr="00C00B6D">
        <w:rPr>
          <w:highlight w:val="yellow"/>
        </w:rPr>
        <w:t>Add/adapt as appropriate.</w:t>
      </w:r>
    </w:p>
    <w:p w14:paraId="31559D7B" w14:textId="0DBD8B8E" w:rsidR="0022039C" w:rsidRPr="00700CA9" w:rsidRDefault="0022039C" w:rsidP="003D030A">
      <w:r w:rsidRPr="00700CA9">
        <w:t xml:space="preserve">The principles that support </w:t>
      </w:r>
      <w:r w:rsidR="00C31CAD" w:rsidRPr="002C2172">
        <w:rPr>
          <w:highlight w:val="yellow"/>
        </w:rPr>
        <w:t>o</w:t>
      </w:r>
      <w:r w:rsidRPr="002C2172">
        <w:rPr>
          <w:highlight w:val="yellow"/>
        </w:rPr>
        <w:t>rganisation</w:t>
      </w:r>
      <w:r w:rsidR="00D516D3" w:rsidRPr="00700CA9">
        <w:t>’s</w:t>
      </w:r>
      <w:r w:rsidRPr="00700CA9">
        <w:t xml:space="preserve"> </w:t>
      </w:r>
      <w:r w:rsidR="00916B07">
        <w:t xml:space="preserve">Service Access and Exit </w:t>
      </w:r>
      <w:r w:rsidRPr="00700CA9">
        <w:t>Policy</w:t>
      </w:r>
      <w:r w:rsidR="00D516D3" w:rsidRPr="00700CA9">
        <w:t xml:space="preserve"> and</w:t>
      </w:r>
      <w:r w:rsidRPr="00700CA9">
        <w:t xml:space="preserve"> Procedure</w:t>
      </w:r>
      <w:r w:rsidR="00D516D3" w:rsidRPr="00700CA9">
        <w:t xml:space="preserve">s, and associated </w:t>
      </w:r>
      <w:r w:rsidRPr="00700CA9">
        <w:t>practice</w:t>
      </w:r>
      <w:r w:rsidR="00D516D3" w:rsidRPr="00700CA9">
        <w:t>s,</w:t>
      </w:r>
      <w:r w:rsidRPr="00700CA9">
        <w:t xml:space="preserve"> are:</w:t>
      </w:r>
    </w:p>
    <w:p w14:paraId="5DE0F90D" w14:textId="33D25F28" w:rsidR="00EE06C6" w:rsidRPr="00EE06C6" w:rsidRDefault="00EE06C6" w:rsidP="00EE06C6">
      <w:pPr>
        <w:pStyle w:val="ListParagraph"/>
        <w:rPr>
          <w:b/>
          <w:bCs/>
        </w:rPr>
      </w:pPr>
      <w:r w:rsidRPr="00EE06C6">
        <w:rPr>
          <w:b/>
          <w:bCs/>
        </w:rPr>
        <w:t xml:space="preserve">Accessibility: </w:t>
      </w:r>
      <w:r w:rsidR="00461EC9">
        <w:t>S</w:t>
      </w:r>
      <w:r w:rsidR="00461EC9" w:rsidRPr="00461EC9">
        <w:t>ervices</w:t>
      </w:r>
      <w:r w:rsidR="00461EC9">
        <w:rPr>
          <w:b/>
          <w:bCs/>
        </w:rPr>
        <w:t xml:space="preserve"> </w:t>
      </w:r>
      <w:r w:rsidR="00461EC9" w:rsidRPr="00461EC9">
        <w:t>are</w:t>
      </w:r>
      <w:r w:rsidR="00461EC9">
        <w:t xml:space="preserve"> designed and provided in ways that promote access</w:t>
      </w:r>
      <w:r w:rsidR="001B18A0">
        <w:t xml:space="preserve"> and we</w:t>
      </w:r>
      <w:r w:rsidR="00461EC9">
        <w:t xml:space="preserve"> proactively identify and reduce barriers to access</w:t>
      </w:r>
      <w:r w:rsidR="00461EC9">
        <w:rPr>
          <w:b/>
          <w:bCs/>
        </w:rPr>
        <w:t xml:space="preserve"> </w:t>
      </w:r>
    </w:p>
    <w:p w14:paraId="403410FD" w14:textId="7B2C1C72" w:rsidR="009E6591" w:rsidRPr="009E6591" w:rsidRDefault="009E6591" w:rsidP="009E6591">
      <w:pPr>
        <w:pStyle w:val="ListParagraph"/>
        <w:rPr>
          <w:b/>
          <w:bCs/>
        </w:rPr>
      </w:pPr>
      <w:r w:rsidRPr="00B07D1F">
        <w:rPr>
          <w:b/>
          <w:bCs/>
          <w:highlight w:val="yellow"/>
        </w:rPr>
        <w:lastRenderedPageBreak/>
        <w:t>Autonomy/</w:t>
      </w:r>
      <w:r w:rsidR="00B07D1F">
        <w:rPr>
          <w:b/>
          <w:bCs/>
          <w:highlight w:val="yellow"/>
        </w:rPr>
        <w:t>S</w:t>
      </w:r>
      <w:r w:rsidRPr="00B07D1F">
        <w:rPr>
          <w:b/>
          <w:bCs/>
          <w:highlight w:val="yellow"/>
        </w:rPr>
        <w:t>elf-determination</w:t>
      </w:r>
      <w:r>
        <w:rPr>
          <w:b/>
          <w:bCs/>
        </w:rPr>
        <w:t>:</w:t>
      </w:r>
      <w:r>
        <w:t xml:space="preserve"> </w:t>
      </w:r>
      <w:r w:rsidR="0039601C">
        <w:t>The right of each person to make decisions about the services they receive is respected and self-determination is promoted</w:t>
      </w:r>
    </w:p>
    <w:p w14:paraId="101ADF47" w14:textId="53D3CEE4" w:rsidR="00EE06C6" w:rsidRPr="009C5BD0" w:rsidRDefault="00C62030" w:rsidP="00EE06C6">
      <w:pPr>
        <w:pStyle w:val="ListParagraph"/>
      </w:pPr>
      <w:r>
        <w:rPr>
          <w:b/>
          <w:bCs/>
        </w:rPr>
        <w:t>Equity and f</w:t>
      </w:r>
      <w:r w:rsidR="00EE06C6">
        <w:rPr>
          <w:b/>
          <w:bCs/>
        </w:rPr>
        <w:t>airness:</w:t>
      </w:r>
      <w:r w:rsidR="00EE06C6">
        <w:t xml:space="preserve"> </w:t>
      </w:r>
      <w:r>
        <w:t>We make decisions about service provision based on the needs of the people seeking our services</w:t>
      </w:r>
      <w:r w:rsidR="005B45CA">
        <w:t xml:space="preserve">; we recognise that we may need to provide different types or levels of service to different people, reflecting different </w:t>
      </w:r>
      <w:r w:rsidR="00506438">
        <w:t>levels of need; our decision-making in unbiased</w:t>
      </w:r>
    </w:p>
    <w:p w14:paraId="4A628287" w14:textId="766D5070" w:rsidR="009E6591" w:rsidRPr="00EE06C6" w:rsidRDefault="009E6591" w:rsidP="00DF02F1">
      <w:pPr>
        <w:pStyle w:val="ListParagraph"/>
        <w:rPr>
          <w:b/>
          <w:bCs/>
        </w:rPr>
      </w:pPr>
      <w:r>
        <w:rPr>
          <w:b/>
          <w:bCs/>
        </w:rPr>
        <w:t>Respect:</w:t>
      </w:r>
      <w:r>
        <w:t xml:space="preserve"> </w:t>
      </w:r>
      <w:r w:rsidR="00C31127">
        <w:t>We recognise and uphold the inherent dignity of each person accessing our services</w:t>
      </w:r>
      <w:r w:rsidR="00987A60">
        <w:t xml:space="preserve"> </w:t>
      </w:r>
      <w:r w:rsidR="004D3B6B">
        <w:t xml:space="preserve">and their values, beliefs and </w:t>
      </w:r>
      <w:r w:rsidR="00D435BD">
        <w:t xml:space="preserve">rights; we </w:t>
      </w:r>
      <w:r w:rsidR="004D3B6B">
        <w:t xml:space="preserve">operate in ways that </w:t>
      </w:r>
      <w:r w:rsidR="00D435BD">
        <w:t xml:space="preserve">demonstrate </w:t>
      </w:r>
      <w:r w:rsidR="004D3B6B">
        <w:t>inclusiveness and respect for diversity</w:t>
      </w:r>
    </w:p>
    <w:p w14:paraId="3029E444" w14:textId="157CB400" w:rsidR="00053D00" w:rsidRPr="00B7186D" w:rsidRDefault="009C5BD0" w:rsidP="00DF02F1">
      <w:pPr>
        <w:pStyle w:val="ListParagraph"/>
        <w:rPr>
          <w:b/>
          <w:bCs/>
        </w:rPr>
      </w:pPr>
      <w:r>
        <w:rPr>
          <w:b/>
          <w:bCs/>
        </w:rPr>
        <w:t>Transparency</w:t>
      </w:r>
      <w:r w:rsidR="00053D00">
        <w:rPr>
          <w:b/>
          <w:bCs/>
        </w:rPr>
        <w:t>:</w:t>
      </w:r>
      <w:r w:rsidR="00E1519F">
        <w:rPr>
          <w:b/>
          <w:bCs/>
        </w:rPr>
        <w:t xml:space="preserve"> </w:t>
      </w:r>
      <w:r w:rsidR="00E1519F">
        <w:t xml:space="preserve">Information about eligibility for our services </w:t>
      </w:r>
      <w:r w:rsidR="00AE3D4E">
        <w:t xml:space="preserve">and service delivery </w:t>
      </w:r>
      <w:r w:rsidR="00E1519F">
        <w:t>is clearly communicated</w:t>
      </w:r>
      <w:r w:rsidR="00AE3D4E">
        <w:t xml:space="preserve"> </w:t>
      </w:r>
    </w:p>
    <w:p w14:paraId="5971CD2E" w14:textId="5E928EE0" w:rsidR="0022039C" w:rsidRPr="00700CA9" w:rsidRDefault="0022039C" w:rsidP="003D030A">
      <w:pPr>
        <w:pStyle w:val="Heading1"/>
        <w:rPr>
          <w:rFonts w:eastAsia="Muli"/>
        </w:rPr>
      </w:pPr>
      <w:bookmarkStart w:id="4" w:name="_heading=h.i8ijn3jepwpn"/>
      <w:bookmarkEnd w:id="4"/>
      <w:r w:rsidRPr="00700CA9">
        <w:rPr>
          <w:rFonts w:eastAsia="Muli"/>
        </w:rPr>
        <w:t>Procedure</w:t>
      </w:r>
      <w:r w:rsidR="00420A07" w:rsidRPr="00700CA9">
        <w:rPr>
          <w:rFonts w:eastAsia="Muli"/>
        </w:rPr>
        <w:t>s</w:t>
      </w:r>
    </w:p>
    <w:p w14:paraId="37B3E55B" w14:textId="0FEEFD12" w:rsidR="00057A1F" w:rsidRDefault="00057A1F" w:rsidP="00057A1F">
      <w:pPr>
        <w:pStyle w:val="Heading2"/>
      </w:pPr>
      <w:r>
        <w:t>Access and Referral Pathways</w:t>
      </w:r>
    </w:p>
    <w:p w14:paraId="481ED264" w14:textId="2D690FB8" w:rsidR="00057A1F" w:rsidRDefault="00ED7B95" w:rsidP="008E38EE">
      <w:r w:rsidRPr="00547B37">
        <w:rPr>
          <w:highlight w:val="green"/>
        </w:rPr>
        <w:t>Outline your access and referral pathways, including (as appropriate):</w:t>
      </w:r>
    </w:p>
    <w:p w14:paraId="646F9BA2" w14:textId="54BABDF2" w:rsidR="00ED7B95" w:rsidRDefault="00ED7B95" w:rsidP="00ED7B95">
      <w:pPr>
        <w:pStyle w:val="Bulletlist"/>
      </w:pPr>
      <w:r w:rsidRPr="00547B37">
        <w:rPr>
          <w:highlight w:val="green"/>
        </w:rPr>
        <w:t>Self-referral</w:t>
      </w:r>
      <w:r w:rsidR="00A058C2" w:rsidRPr="00547B37">
        <w:rPr>
          <w:highlight w:val="green"/>
        </w:rPr>
        <w:t xml:space="preserve"> – </w:t>
      </w:r>
      <w:r w:rsidRPr="00547B37">
        <w:rPr>
          <w:highlight w:val="green"/>
        </w:rPr>
        <w:t>how</w:t>
      </w:r>
      <w:r w:rsidR="00A058C2" w:rsidRPr="00547B37">
        <w:rPr>
          <w:highlight w:val="green"/>
        </w:rPr>
        <w:t xml:space="preserve"> </w:t>
      </w:r>
      <w:r w:rsidRPr="00547B37">
        <w:rPr>
          <w:highlight w:val="green"/>
        </w:rPr>
        <w:t>people can arrange to access services themselves/for their families</w:t>
      </w:r>
      <w:r>
        <w:t>.</w:t>
      </w:r>
    </w:p>
    <w:p w14:paraId="33700229" w14:textId="5966E9A7" w:rsidR="00ED7B95" w:rsidRDefault="00ED7B95" w:rsidP="00ED7B95">
      <w:pPr>
        <w:pStyle w:val="Bulletlist"/>
      </w:pPr>
      <w:r w:rsidRPr="00547B37">
        <w:rPr>
          <w:highlight w:val="green"/>
        </w:rPr>
        <w:t xml:space="preserve">Referral processes for other services professionals, including </w:t>
      </w:r>
      <w:r w:rsidR="00A058C2" w:rsidRPr="00547B37">
        <w:rPr>
          <w:highlight w:val="green"/>
        </w:rPr>
        <w:t xml:space="preserve">required information and preferred formats, e.g., emailing a completed referral form to </w:t>
      </w:r>
      <w:proofErr w:type="gramStart"/>
      <w:r w:rsidR="00A058C2" w:rsidRPr="00547B37">
        <w:rPr>
          <w:highlight w:val="green"/>
        </w:rPr>
        <w:t>a particular, secure</w:t>
      </w:r>
      <w:proofErr w:type="gramEnd"/>
      <w:r w:rsidR="00A058C2" w:rsidRPr="00547B37">
        <w:rPr>
          <w:highlight w:val="green"/>
        </w:rPr>
        <w:t xml:space="preserve"> email address; calling </w:t>
      </w:r>
      <w:r w:rsidR="00547B37" w:rsidRPr="00547B37">
        <w:rPr>
          <w:highlight w:val="green"/>
        </w:rPr>
        <w:t>prior to referral to discuss suitability; etc</w:t>
      </w:r>
      <w:r w:rsidR="00547B37">
        <w:t>.</w:t>
      </w:r>
    </w:p>
    <w:p w14:paraId="331322F5" w14:textId="5BD3B0A4" w:rsidR="001F58C1" w:rsidRDefault="001F58C1" w:rsidP="00D2753E">
      <w:r>
        <w:rPr>
          <w:highlight w:val="green"/>
        </w:rPr>
        <w:t>Where varied programs/services involve different processes, detail each or refer to a document where this information can be found for each program/service</w:t>
      </w:r>
      <w:r w:rsidRPr="001F58C1">
        <w:t>.</w:t>
      </w:r>
    </w:p>
    <w:p w14:paraId="7731E126" w14:textId="02FBD2E3" w:rsidR="001F58C1" w:rsidRDefault="001F58C1" w:rsidP="00D2753E">
      <w:r w:rsidRPr="00354A52">
        <w:rPr>
          <w:highlight w:val="green"/>
        </w:rPr>
        <w:t xml:space="preserve">Where a service type has </w:t>
      </w:r>
      <w:proofErr w:type="gramStart"/>
      <w:r w:rsidRPr="00354A52">
        <w:rPr>
          <w:highlight w:val="green"/>
        </w:rPr>
        <w:t>particular requirements</w:t>
      </w:r>
      <w:proofErr w:type="gramEnd"/>
      <w:r w:rsidRPr="00354A52">
        <w:rPr>
          <w:highlight w:val="green"/>
        </w:rPr>
        <w:t xml:space="preserve"> (e.g., only receives referrals from a particular authority or through a specific process) detail those </w:t>
      </w:r>
      <w:r w:rsidR="00796116">
        <w:rPr>
          <w:highlight w:val="green"/>
        </w:rPr>
        <w:t>with reference to relevant documents (e.g., service agreements, service standards)</w:t>
      </w:r>
      <w:r w:rsidRPr="00354A52">
        <w:rPr>
          <w:highlight w:val="green"/>
        </w:rPr>
        <w:t>. E.g. For Child Protection Placement Services, processes for receiving and processing referrals and related information (e.g., statutory requirements, case plans, transition care arrangements) from DCSSDS</w:t>
      </w:r>
      <w:r>
        <w:t>.</w:t>
      </w:r>
    </w:p>
    <w:p w14:paraId="42A3FAB2" w14:textId="60B76887" w:rsidR="00BD7AF0" w:rsidRDefault="00BD7AF0" w:rsidP="00D2753E">
      <w:r w:rsidRPr="00050267">
        <w:rPr>
          <w:highlight w:val="green"/>
        </w:rPr>
        <w:t>Describe the process for communicating with referrers</w:t>
      </w:r>
      <w:r w:rsidR="00050267" w:rsidRPr="00050267">
        <w:rPr>
          <w:highlight w:val="green"/>
        </w:rPr>
        <w:t>, including:</w:t>
      </w:r>
    </w:p>
    <w:p w14:paraId="642CC7D6" w14:textId="6055F53C" w:rsidR="00050267" w:rsidRDefault="00050267" w:rsidP="00050267">
      <w:pPr>
        <w:pStyle w:val="Bulletlist"/>
      </w:pPr>
      <w:r w:rsidRPr="00050267">
        <w:rPr>
          <w:highlight w:val="green"/>
        </w:rPr>
        <w:t>Notifying a referrer that a referral has been received</w:t>
      </w:r>
      <w:r>
        <w:t>.</w:t>
      </w:r>
    </w:p>
    <w:p w14:paraId="1892A664" w14:textId="47385C99" w:rsidR="00050267" w:rsidRDefault="00050267" w:rsidP="00050267">
      <w:pPr>
        <w:pStyle w:val="Bulletlist"/>
      </w:pPr>
      <w:r w:rsidRPr="00050267">
        <w:rPr>
          <w:highlight w:val="green"/>
        </w:rPr>
        <w:t>Responding to a self-referrer with information about next steps</w:t>
      </w:r>
      <w:r>
        <w:t>.</w:t>
      </w:r>
    </w:p>
    <w:p w14:paraId="53E4A361" w14:textId="372DAD3F" w:rsidR="008D5F33" w:rsidRDefault="00050267" w:rsidP="008D5F33">
      <w:pPr>
        <w:pStyle w:val="Bulletlist"/>
      </w:pPr>
      <w:r w:rsidRPr="00050267">
        <w:rPr>
          <w:highlight w:val="green"/>
        </w:rPr>
        <w:t>Timeframes and responsibilities for decisions/responses</w:t>
      </w:r>
      <w:r>
        <w:t>.</w:t>
      </w:r>
    </w:p>
    <w:p w14:paraId="0BB36266" w14:textId="6ADCB25A" w:rsidR="008D5F33" w:rsidRPr="008D5F33" w:rsidRDefault="008D5F33" w:rsidP="008D5F33">
      <w:pPr>
        <w:rPr>
          <w:highlight w:val="green"/>
        </w:rPr>
      </w:pPr>
      <w:r w:rsidRPr="004B36BE">
        <w:rPr>
          <w:highlight w:val="green"/>
        </w:rPr>
        <w:t xml:space="preserve">Outline any </w:t>
      </w:r>
      <w:proofErr w:type="gramStart"/>
      <w:r w:rsidRPr="004B36BE">
        <w:rPr>
          <w:highlight w:val="green"/>
        </w:rPr>
        <w:t>particular processes</w:t>
      </w:r>
      <w:proofErr w:type="gramEnd"/>
      <w:r w:rsidRPr="004B36BE">
        <w:rPr>
          <w:highlight w:val="green"/>
        </w:rPr>
        <w:t xml:space="preserve"> in place to facilitate/reduce barriers to access not addressed elsewher</w:t>
      </w:r>
      <w:r>
        <w:rPr>
          <w:highlight w:val="green"/>
        </w:rPr>
        <w:t>e in this document</w:t>
      </w:r>
      <w:r>
        <w:t>.</w:t>
      </w:r>
    </w:p>
    <w:p w14:paraId="7626618B" w14:textId="02C62FEF" w:rsidR="0022039C" w:rsidRDefault="00115A7F" w:rsidP="003D030A">
      <w:pPr>
        <w:pStyle w:val="Heading2"/>
      </w:pPr>
      <w:r>
        <w:t>Determining Eligibility</w:t>
      </w:r>
    </w:p>
    <w:p w14:paraId="1ABB77A0" w14:textId="56D1C0A4" w:rsidR="002A0BAD" w:rsidRDefault="003F2267" w:rsidP="00525A20">
      <w:r w:rsidRPr="00A0088B">
        <w:rPr>
          <w:highlight w:val="yellow"/>
        </w:rPr>
        <w:t>Organisation</w:t>
      </w:r>
      <w:r>
        <w:t xml:space="preserve"> provides services to </w:t>
      </w:r>
      <w:r w:rsidRPr="00115A7F">
        <w:rPr>
          <w:highlight w:val="yellow"/>
        </w:rPr>
        <w:t>list groups</w:t>
      </w:r>
      <w:r>
        <w:t xml:space="preserve">, in accordance with </w:t>
      </w:r>
      <w:r w:rsidRPr="00513FED">
        <w:rPr>
          <w:highlight w:val="yellow"/>
        </w:rPr>
        <w:t>outline basis for this, e.g., contractual arrangements, services agreement, organisational purpose, expertise, etc</w:t>
      </w:r>
      <w:r>
        <w:t>.</w:t>
      </w:r>
      <w:r w:rsidR="00422F4A">
        <w:t xml:space="preserve"> </w:t>
      </w:r>
      <w:r w:rsidR="00422F4A" w:rsidRPr="00D57B3C">
        <w:rPr>
          <w:highlight w:val="green"/>
        </w:rPr>
        <w:t xml:space="preserve">Include reference to relevant </w:t>
      </w:r>
      <w:r w:rsidR="00422F4A" w:rsidRPr="00774667">
        <w:rPr>
          <w:highlight w:val="green"/>
        </w:rPr>
        <w:t xml:space="preserve">documents, e.g., </w:t>
      </w:r>
      <w:r w:rsidR="00D57B3C" w:rsidRPr="00774667">
        <w:rPr>
          <w:highlight w:val="green"/>
        </w:rPr>
        <w:t>investment specifications, relevant standards.</w:t>
      </w:r>
      <w:r w:rsidR="00774667" w:rsidRPr="00774667">
        <w:rPr>
          <w:highlight w:val="green"/>
        </w:rPr>
        <w:t xml:space="preserve"> See Appendix 1 for an example.</w:t>
      </w:r>
    </w:p>
    <w:p w14:paraId="21DE5AE5" w14:textId="65481E33" w:rsidR="002A0BAD" w:rsidRDefault="003F2267" w:rsidP="00525A20">
      <w:r w:rsidRPr="00947B9A">
        <w:rPr>
          <w:highlight w:val="green"/>
        </w:rPr>
        <w:t xml:space="preserve">If you have multiple service/program types, </w:t>
      </w:r>
      <w:r w:rsidR="00EB5D8B" w:rsidRPr="00947B9A">
        <w:rPr>
          <w:highlight w:val="green"/>
        </w:rPr>
        <w:t>outline</w:t>
      </w:r>
      <w:r w:rsidR="00947B9A" w:rsidRPr="00947B9A">
        <w:rPr>
          <w:highlight w:val="green"/>
        </w:rPr>
        <w:t xml:space="preserve"> the eligibility for each or refer to documents where each program’s eligibility information is presented</w:t>
      </w:r>
      <w:r w:rsidR="00EB5D8B" w:rsidRPr="00947B9A">
        <w:rPr>
          <w:highlight w:val="green"/>
        </w:rPr>
        <w:t>.</w:t>
      </w:r>
    </w:p>
    <w:p w14:paraId="6F6520DD" w14:textId="2C06F47E" w:rsidR="00046401" w:rsidRDefault="00046401" w:rsidP="00525A20">
      <w:r w:rsidRPr="00E4329C">
        <w:rPr>
          <w:highlight w:val="yellow"/>
        </w:rPr>
        <w:t>Prospective clients/People potentially seeking to access our services</w:t>
      </w:r>
      <w:r>
        <w:t xml:space="preserve"> are informed of eligibility requirements by </w:t>
      </w:r>
      <w:r w:rsidRPr="00046401">
        <w:rPr>
          <w:highlight w:val="green"/>
        </w:rPr>
        <w:t xml:space="preserve">outline your process, including how you provide accessible information (e.g., </w:t>
      </w:r>
      <w:r w:rsidR="00F57084">
        <w:rPr>
          <w:highlight w:val="green"/>
        </w:rPr>
        <w:t xml:space="preserve">presenting information in varied/flexible forms, </w:t>
      </w:r>
      <w:r w:rsidRPr="00046401">
        <w:rPr>
          <w:highlight w:val="green"/>
        </w:rPr>
        <w:t xml:space="preserve">using plain language </w:t>
      </w:r>
      <w:r w:rsidRPr="00DC0878">
        <w:rPr>
          <w:highlight w:val="green"/>
        </w:rPr>
        <w:t>resources, etc.)</w:t>
      </w:r>
      <w:r w:rsidRPr="00C85BD7">
        <w:t>.</w:t>
      </w:r>
      <w:r w:rsidR="00DC0878" w:rsidRPr="00C85BD7">
        <w:t xml:space="preserve"> </w:t>
      </w:r>
    </w:p>
    <w:p w14:paraId="78B94ADD" w14:textId="5C0B8791" w:rsidR="00053871" w:rsidRDefault="00947B9A" w:rsidP="00525A20">
      <w:pPr>
        <w:rPr>
          <w:highlight w:val="green"/>
        </w:rPr>
      </w:pPr>
      <w:r>
        <w:t>To establish whether a person or family is eligible for our services</w:t>
      </w:r>
      <w:r w:rsidR="00E93E86">
        <w:t xml:space="preserve">, we </w:t>
      </w:r>
      <w:r w:rsidR="00E93E86" w:rsidRPr="009316CB">
        <w:rPr>
          <w:highlight w:val="green"/>
        </w:rPr>
        <w:t>outline your process</w:t>
      </w:r>
      <w:r w:rsidR="009316CB" w:rsidRPr="009316CB">
        <w:rPr>
          <w:highlight w:val="green"/>
        </w:rPr>
        <w:t>, e.g., review of referrals, initial appointment/phone call, case meeting, etc.</w:t>
      </w:r>
      <w:r w:rsidR="00C17E02">
        <w:rPr>
          <w:highlight w:val="green"/>
        </w:rPr>
        <w:t xml:space="preserve"> Where </w:t>
      </w:r>
      <w:r w:rsidR="006D4281">
        <w:rPr>
          <w:highlight w:val="green"/>
        </w:rPr>
        <w:t>services/programs conduct intake/eligibility interviews, provide detailed guidance in the sub-section below (Eligi</w:t>
      </w:r>
      <w:r w:rsidR="00336D95">
        <w:rPr>
          <w:highlight w:val="green"/>
        </w:rPr>
        <w:t>bi</w:t>
      </w:r>
      <w:r w:rsidR="006D4281">
        <w:rPr>
          <w:highlight w:val="green"/>
        </w:rPr>
        <w:t>lity/Intake Interviews)</w:t>
      </w:r>
      <w:r w:rsidR="006D4281" w:rsidRPr="00C85BD7">
        <w:t>.</w:t>
      </w:r>
    </w:p>
    <w:p w14:paraId="5AD76DFD" w14:textId="74479202" w:rsidR="00781D7A" w:rsidRDefault="00781D7A" w:rsidP="00525A20">
      <w:pPr>
        <w:rPr>
          <w:highlight w:val="green"/>
        </w:rPr>
      </w:pPr>
      <w:r w:rsidRPr="00053871">
        <w:lastRenderedPageBreak/>
        <w:t xml:space="preserve">To make these processes as supported and effective as we can, </w:t>
      </w:r>
      <w:r w:rsidR="00053871" w:rsidRPr="00053871">
        <w:t xml:space="preserve">we </w:t>
      </w:r>
      <w:r w:rsidR="00053871">
        <w:rPr>
          <w:highlight w:val="green"/>
        </w:rPr>
        <w:t>detail processes, e.g.:</w:t>
      </w:r>
    </w:p>
    <w:p w14:paraId="3A60B2CA" w14:textId="77777777" w:rsidR="00781D7A" w:rsidRDefault="00781D7A" w:rsidP="00781D7A">
      <w:pPr>
        <w:pStyle w:val="Bulletlist"/>
      </w:pPr>
      <w:r>
        <w:rPr>
          <w:highlight w:val="green"/>
        </w:rPr>
        <w:t>P</w:t>
      </w:r>
      <w:r w:rsidR="00F57084" w:rsidRPr="00DC0878">
        <w:rPr>
          <w:highlight w:val="green"/>
        </w:rPr>
        <w:t>rocesses for the involvement of family members, advocates and/or support people</w:t>
      </w:r>
      <w:r>
        <w:t>.</w:t>
      </w:r>
    </w:p>
    <w:p w14:paraId="61493189" w14:textId="1D7F478F" w:rsidR="00672E41" w:rsidRDefault="00781D7A" w:rsidP="00781D7A">
      <w:pPr>
        <w:pStyle w:val="Bulletlist"/>
      </w:pPr>
      <w:r w:rsidRPr="00781D7A">
        <w:rPr>
          <w:highlight w:val="green"/>
        </w:rPr>
        <w:t>How the organisation engages interpreters/community language speakers where appropriate</w:t>
      </w:r>
      <w:r>
        <w:t>.</w:t>
      </w:r>
    </w:p>
    <w:p w14:paraId="7172A60C" w14:textId="4112117C" w:rsidR="00612B86" w:rsidRDefault="00D35245" w:rsidP="00480085">
      <w:r>
        <w:t xml:space="preserve">Where there are more eligible people than we have capacity to support, we determine who receives support </w:t>
      </w:r>
      <w:r w:rsidRPr="0048235E">
        <w:t xml:space="preserve">by </w:t>
      </w:r>
      <w:r w:rsidRPr="005D12D1">
        <w:rPr>
          <w:highlight w:val="green"/>
        </w:rPr>
        <w:t>outline your process, e.g.:</w:t>
      </w:r>
    </w:p>
    <w:p w14:paraId="3EA9CE1E" w14:textId="7D2EC6BD" w:rsidR="00D35245" w:rsidRDefault="00D35245" w:rsidP="00D35245">
      <w:pPr>
        <w:pStyle w:val="Bulletlist"/>
      </w:pPr>
      <w:r w:rsidRPr="005D12D1">
        <w:rPr>
          <w:highlight w:val="green"/>
        </w:rPr>
        <w:t>Relative levels of nee</w:t>
      </w:r>
      <w:r w:rsidR="00455389">
        <w:rPr>
          <w:highlight w:val="green"/>
        </w:rPr>
        <w:t>d as determined by …</w:t>
      </w:r>
      <w:r>
        <w:t>.</w:t>
      </w:r>
    </w:p>
    <w:p w14:paraId="15047AE6" w14:textId="35D92589" w:rsidR="00D35245" w:rsidRDefault="00D35245" w:rsidP="00D35245">
      <w:pPr>
        <w:pStyle w:val="Bulletlist"/>
      </w:pPr>
      <w:r w:rsidRPr="005D12D1">
        <w:rPr>
          <w:highlight w:val="green"/>
        </w:rPr>
        <w:t>Groups prioritised by our fundin</w:t>
      </w:r>
      <w:r w:rsidR="00455389">
        <w:rPr>
          <w:highlight w:val="green"/>
        </w:rPr>
        <w:t>g, i.e. …</w:t>
      </w:r>
      <w:r>
        <w:t>.</w:t>
      </w:r>
    </w:p>
    <w:p w14:paraId="5C002F98" w14:textId="2695DE7C" w:rsidR="005D12D1" w:rsidRDefault="005D12D1" w:rsidP="005D12D1">
      <w:pPr>
        <w:pStyle w:val="Bulletlist"/>
      </w:pPr>
      <w:r w:rsidRPr="005D12D1">
        <w:rPr>
          <w:highlight w:val="green"/>
        </w:rPr>
        <w:t>Prioritising people at higher ris</w:t>
      </w:r>
      <w:r w:rsidR="00455389">
        <w:rPr>
          <w:highlight w:val="green"/>
        </w:rPr>
        <w:t>k as determined by …</w:t>
      </w:r>
      <w:r>
        <w:t>.</w:t>
      </w:r>
    </w:p>
    <w:p w14:paraId="1EA33B23" w14:textId="06B03E3D" w:rsidR="005D12D1" w:rsidRDefault="005D12D1" w:rsidP="005D12D1">
      <w:r>
        <w:t xml:space="preserve">Where a person is ineligible </w:t>
      </w:r>
      <w:r w:rsidR="00F62063">
        <w:t xml:space="preserve">or </w:t>
      </w:r>
      <w:r>
        <w:t xml:space="preserve">we do not have capacity to provide services to them, </w:t>
      </w:r>
      <w:r w:rsidR="000517CE" w:rsidRPr="000517CE">
        <w:rPr>
          <w:highlight w:val="green"/>
        </w:rPr>
        <w:t>outline how you communicate the outcome</w:t>
      </w:r>
      <w:r w:rsidR="000517CE">
        <w:t>. W</w:t>
      </w:r>
      <w:r>
        <w:t xml:space="preserve">e </w:t>
      </w:r>
      <w:r w:rsidR="000517CE">
        <w:t xml:space="preserve">provide support </w:t>
      </w:r>
      <w:r>
        <w:t xml:space="preserve">by </w:t>
      </w:r>
      <w:r w:rsidRPr="00747C60">
        <w:rPr>
          <w:highlight w:val="green"/>
        </w:rPr>
        <w:t>describe your processes, e.g.:</w:t>
      </w:r>
    </w:p>
    <w:p w14:paraId="53A1D725" w14:textId="60BDFD07" w:rsidR="005D12D1" w:rsidRDefault="005D12D1" w:rsidP="005D12D1">
      <w:pPr>
        <w:pStyle w:val="Bulletlist"/>
      </w:pPr>
      <w:r w:rsidRPr="00747C60">
        <w:rPr>
          <w:highlight w:val="green"/>
        </w:rPr>
        <w:t xml:space="preserve">Providing </w:t>
      </w:r>
      <w:r w:rsidR="00747C60" w:rsidRPr="00747C60">
        <w:rPr>
          <w:highlight w:val="green"/>
        </w:rPr>
        <w:t xml:space="preserve">information about or </w:t>
      </w:r>
      <w:r w:rsidRPr="00747C60">
        <w:rPr>
          <w:highlight w:val="green"/>
        </w:rPr>
        <w:t>referrals to other appropriate services</w:t>
      </w:r>
      <w:r w:rsidRPr="00747C60">
        <w:t>.</w:t>
      </w:r>
    </w:p>
    <w:p w14:paraId="386F5853" w14:textId="16CFC146" w:rsidR="005D12D1" w:rsidRDefault="005D12D1" w:rsidP="005D12D1">
      <w:pPr>
        <w:pStyle w:val="Bulletlist"/>
      </w:pPr>
      <w:r w:rsidRPr="00747C60">
        <w:rPr>
          <w:highlight w:val="green"/>
        </w:rPr>
        <w:t>Providing short term support/brief interventions to meet priority needs</w:t>
      </w:r>
      <w:r>
        <w:t>.</w:t>
      </w:r>
    </w:p>
    <w:p w14:paraId="07AF4C6A" w14:textId="73D4132E" w:rsidR="00796116" w:rsidRDefault="00796116" w:rsidP="000517CE">
      <w:r w:rsidRPr="00354A52">
        <w:rPr>
          <w:highlight w:val="green"/>
        </w:rPr>
        <w:t xml:space="preserve">Where a service type has </w:t>
      </w:r>
      <w:proofErr w:type="gramStart"/>
      <w:r w:rsidRPr="00354A52">
        <w:rPr>
          <w:highlight w:val="green"/>
        </w:rPr>
        <w:t>particular requirements</w:t>
      </w:r>
      <w:proofErr w:type="gramEnd"/>
      <w:r w:rsidRPr="00354A52">
        <w:rPr>
          <w:highlight w:val="green"/>
        </w:rPr>
        <w:t xml:space="preserve"> (e.g., </w:t>
      </w:r>
      <w:r>
        <w:rPr>
          <w:highlight w:val="green"/>
        </w:rPr>
        <w:t>must provide decision and justifications to a statutory authority</w:t>
      </w:r>
      <w:r w:rsidRPr="00354A52">
        <w:rPr>
          <w:highlight w:val="green"/>
        </w:rPr>
        <w:t xml:space="preserve">) detail those </w:t>
      </w:r>
      <w:r>
        <w:rPr>
          <w:highlight w:val="green"/>
        </w:rPr>
        <w:t>with reference to relevant documents</w:t>
      </w:r>
      <w:r w:rsidRPr="00DB775B">
        <w:rPr>
          <w:highlight w:val="green"/>
        </w:rPr>
        <w:t>.</w:t>
      </w:r>
      <w:r w:rsidR="00DB775B" w:rsidRPr="00DB775B">
        <w:rPr>
          <w:highlight w:val="green"/>
        </w:rPr>
        <w:t xml:space="preserve"> E.g. If you need to provide an update to a referring authority regarding a referred person’s/family’s engagement</w:t>
      </w:r>
      <w:r w:rsidR="00DB775B">
        <w:t>.</w:t>
      </w:r>
    </w:p>
    <w:p w14:paraId="215DB513" w14:textId="07473229" w:rsidR="00C17E02" w:rsidRDefault="00C17E02" w:rsidP="00C17E02">
      <w:pPr>
        <w:pStyle w:val="Heading3"/>
      </w:pPr>
      <w:r w:rsidRPr="00336D95">
        <w:rPr>
          <w:highlight w:val="yellow"/>
        </w:rPr>
        <w:t>Eligibility/Intake Interviews</w:t>
      </w:r>
    </w:p>
    <w:p w14:paraId="544C2BBB" w14:textId="40A3183D" w:rsidR="00C17E02" w:rsidRDefault="008069AC" w:rsidP="00C17E02">
      <w:r w:rsidRPr="008069AC">
        <w:t>To</w:t>
      </w:r>
      <w:r>
        <w:t xml:space="preserve"> safely and effectively gather essential information for </w:t>
      </w:r>
      <w:r w:rsidRPr="00C52712">
        <w:rPr>
          <w:highlight w:val="yellow"/>
        </w:rPr>
        <w:t>eligibility and/or intake</w:t>
      </w:r>
      <w:r>
        <w:t>, we</w:t>
      </w:r>
      <w:r w:rsidRPr="008069AC">
        <w:t xml:space="preserve"> </w:t>
      </w:r>
      <w:r>
        <w:rPr>
          <w:highlight w:val="green"/>
        </w:rPr>
        <w:t>d</w:t>
      </w:r>
      <w:r w:rsidR="00336D95" w:rsidRPr="008069AC">
        <w:rPr>
          <w:highlight w:val="green"/>
        </w:rPr>
        <w:t>escribe your process for scheduling and conducting interview, including:</w:t>
      </w:r>
    </w:p>
    <w:p w14:paraId="7EF5C958" w14:textId="35F32D37" w:rsidR="00336D95" w:rsidRPr="008255AF" w:rsidRDefault="00336D95" w:rsidP="00336D95">
      <w:pPr>
        <w:pStyle w:val="Bulletlist"/>
      </w:pPr>
      <w:r w:rsidRPr="008255AF">
        <w:rPr>
          <w:highlight w:val="green"/>
        </w:rPr>
        <w:t>Modes of interview (e.g., individual/family, in-person/online/phone)</w:t>
      </w:r>
      <w:r w:rsidR="003A0AEA" w:rsidRPr="008255AF">
        <w:rPr>
          <w:highlight w:val="green"/>
        </w:rPr>
        <w:t xml:space="preserve">; note where </w:t>
      </w:r>
      <w:r w:rsidR="00D41B8F" w:rsidRPr="008255AF">
        <w:rPr>
          <w:highlight w:val="green"/>
        </w:rPr>
        <w:t>joint interviewing may not be appropriate (e.g., where DFV may be present)</w:t>
      </w:r>
      <w:r w:rsidRPr="008255AF">
        <w:t>.</w:t>
      </w:r>
    </w:p>
    <w:p w14:paraId="39520E95" w14:textId="4E5F2D32" w:rsidR="003A0AEA" w:rsidRPr="008255AF" w:rsidRDefault="003A0AEA" w:rsidP="003A0AEA">
      <w:pPr>
        <w:pStyle w:val="Bulletlist"/>
      </w:pPr>
      <w:r w:rsidRPr="00C61040">
        <w:rPr>
          <w:highlight w:val="green"/>
        </w:rPr>
        <w:t>Safety protocols</w:t>
      </w:r>
      <w:r w:rsidR="00F42ED3" w:rsidRPr="00C61040">
        <w:rPr>
          <w:highlight w:val="green"/>
        </w:rPr>
        <w:t>, including protection of workers, potential clients, victim/survivors of violence, etc.</w:t>
      </w:r>
      <w:r w:rsidR="00C61040" w:rsidRPr="00C61040">
        <w:rPr>
          <w:highlight w:val="green"/>
        </w:rPr>
        <w:t xml:space="preserve">; in particular, detail where work </w:t>
      </w:r>
      <w:r w:rsidR="00C61040" w:rsidRPr="00B673FF">
        <w:rPr>
          <w:highlight w:val="green"/>
        </w:rPr>
        <w:t>is conducted with perpetrators of DFV</w:t>
      </w:r>
      <w:r w:rsidR="00B673FF" w:rsidRPr="00B673FF">
        <w:rPr>
          <w:highlight w:val="green"/>
        </w:rPr>
        <w:t xml:space="preserve">; include reference to relevant </w:t>
      </w:r>
      <w:r w:rsidR="00B673FF" w:rsidRPr="00715512">
        <w:rPr>
          <w:highlight w:val="green"/>
        </w:rPr>
        <w:t>standards (e.g., Domestic and Family Violence Prevention Act 2012/DFV Investment Specification</w:t>
      </w:r>
      <w:r w:rsidR="00A4315F">
        <w:rPr>
          <w:highlight w:val="green"/>
        </w:rPr>
        <w:t>)</w:t>
      </w:r>
      <w:r w:rsidR="00715512" w:rsidRPr="00715512">
        <w:rPr>
          <w:highlight w:val="green"/>
        </w:rPr>
        <w:t xml:space="preserve"> and the need for risk assessment, safety planning, </w:t>
      </w:r>
      <w:proofErr w:type="gramStart"/>
      <w:r w:rsidR="00715512" w:rsidRPr="00715512">
        <w:rPr>
          <w:highlight w:val="green"/>
        </w:rPr>
        <w:t>etc.</w:t>
      </w:r>
      <w:r w:rsidRPr="008255AF">
        <w:t>.</w:t>
      </w:r>
      <w:proofErr w:type="gramEnd"/>
    </w:p>
    <w:p w14:paraId="372839F5" w14:textId="3BA1A402" w:rsidR="00336D95" w:rsidRDefault="00336D95" w:rsidP="00336D95">
      <w:pPr>
        <w:pStyle w:val="Bulletlist"/>
      </w:pPr>
      <w:r w:rsidRPr="008255AF">
        <w:rPr>
          <w:highlight w:val="green"/>
        </w:rPr>
        <w:t>Availability of interpreters or preferred language speakers</w:t>
      </w:r>
      <w:r>
        <w:t>.</w:t>
      </w:r>
    </w:p>
    <w:p w14:paraId="5BF2A3C5" w14:textId="698A7CDB" w:rsidR="003A0AEA" w:rsidRDefault="003A0AEA" w:rsidP="00336D95">
      <w:pPr>
        <w:pStyle w:val="Bulletlist"/>
      </w:pPr>
      <w:r w:rsidRPr="008255AF">
        <w:rPr>
          <w:highlight w:val="green"/>
        </w:rPr>
        <w:t>Accessibility and use of assistive technologies</w:t>
      </w:r>
      <w:r>
        <w:t>.</w:t>
      </w:r>
    </w:p>
    <w:p w14:paraId="7A122E1F" w14:textId="0DEEF0D3" w:rsidR="00336D95" w:rsidRDefault="00336D95" w:rsidP="00336D95">
      <w:pPr>
        <w:pStyle w:val="Bulletlist"/>
      </w:pPr>
      <w:r w:rsidRPr="008255AF">
        <w:rPr>
          <w:highlight w:val="green"/>
        </w:rPr>
        <w:t xml:space="preserve">Inclusivity practices (e.g., enquiring about </w:t>
      </w:r>
      <w:r w:rsidR="00D632D0" w:rsidRPr="008255AF">
        <w:rPr>
          <w:highlight w:val="green"/>
        </w:rPr>
        <w:t>identity/preferred language; avoiding gendered language</w:t>
      </w:r>
      <w:r w:rsidR="009765EC">
        <w:rPr>
          <w:highlight w:val="green"/>
        </w:rPr>
        <w:t>; providing information in community languages</w:t>
      </w:r>
      <w:r w:rsidR="00D632D0" w:rsidRPr="008255AF">
        <w:rPr>
          <w:highlight w:val="green"/>
        </w:rPr>
        <w:t>)</w:t>
      </w:r>
      <w:r w:rsidR="00D632D0">
        <w:t>.</w:t>
      </w:r>
    </w:p>
    <w:p w14:paraId="38AD4CC5" w14:textId="133CDE5B" w:rsidR="00336D95" w:rsidRDefault="00336D95" w:rsidP="00336D95">
      <w:pPr>
        <w:pStyle w:val="Bulletlist"/>
      </w:pPr>
      <w:r w:rsidRPr="008255AF">
        <w:rPr>
          <w:highlight w:val="green"/>
        </w:rPr>
        <w:t xml:space="preserve">Trauma-informed practices (e.g., </w:t>
      </w:r>
      <w:r w:rsidR="00D632D0" w:rsidRPr="008255AF">
        <w:rPr>
          <w:highlight w:val="green"/>
        </w:rPr>
        <w:t>sensitively enquiring about trauma experiences</w:t>
      </w:r>
      <w:r w:rsidR="00A60EED">
        <w:rPr>
          <w:highlight w:val="green"/>
        </w:rPr>
        <w:t xml:space="preserve"> and needs</w:t>
      </w:r>
      <w:r w:rsidR="00D632D0" w:rsidRPr="008255AF">
        <w:rPr>
          <w:highlight w:val="green"/>
        </w:rPr>
        <w:t>)</w:t>
      </w:r>
      <w:r w:rsidR="00D632D0">
        <w:t>.</w:t>
      </w:r>
    </w:p>
    <w:p w14:paraId="76C4E91A" w14:textId="286E2EF5" w:rsidR="008069AC" w:rsidRDefault="008069AC" w:rsidP="00336D95">
      <w:pPr>
        <w:pStyle w:val="Bulletlist"/>
      </w:pPr>
      <w:r w:rsidRPr="008255AF">
        <w:rPr>
          <w:highlight w:val="green"/>
        </w:rPr>
        <w:t>Practices to support members of relevant groups, e.g., interview processes for children</w:t>
      </w:r>
      <w:r>
        <w:t>.</w:t>
      </w:r>
    </w:p>
    <w:p w14:paraId="29E30C3B" w14:textId="63997B1F" w:rsidR="002E18C7" w:rsidRDefault="002E18C7" w:rsidP="002E18C7">
      <w:pPr>
        <w:pStyle w:val="Heading4"/>
      </w:pPr>
      <w:r>
        <w:t>Engaging and Working with Interpreters</w:t>
      </w:r>
    </w:p>
    <w:p w14:paraId="0BB0DBAE" w14:textId="2E160DA8" w:rsidR="009B5520" w:rsidRDefault="002E18C7" w:rsidP="002E18C7">
      <w:r>
        <w:t xml:space="preserve">We support people </w:t>
      </w:r>
      <w:r w:rsidR="00E94949">
        <w:t xml:space="preserve">who use </w:t>
      </w:r>
      <w:proofErr w:type="spellStart"/>
      <w:r w:rsidR="00E94949">
        <w:t>Auslan</w:t>
      </w:r>
      <w:proofErr w:type="spellEnd"/>
      <w:r w:rsidR="00E94949">
        <w:t xml:space="preserve"> or have </w:t>
      </w:r>
      <w:r w:rsidR="009B5520">
        <w:t xml:space="preserve">preferred languages other than English by </w:t>
      </w:r>
      <w:r w:rsidR="009B5520" w:rsidRPr="002A4B99">
        <w:rPr>
          <w:highlight w:val="green"/>
        </w:rPr>
        <w:t>describe how you assess for the appropriateness of and engage with interpreters, e.g.</w:t>
      </w:r>
      <w:r w:rsidR="009B5520" w:rsidRPr="002A4B99">
        <w:t>:</w:t>
      </w:r>
    </w:p>
    <w:p w14:paraId="4C7D935E" w14:textId="02875106" w:rsidR="009B5520" w:rsidRDefault="009B5520" w:rsidP="009B5520">
      <w:pPr>
        <w:pStyle w:val="Bulletlist"/>
      </w:pPr>
      <w:r w:rsidRPr="002A4B99">
        <w:rPr>
          <w:highlight w:val="green"/>
        </w:rPr>
        <w:t xml:space="preserve">Questions/screening processes used to identify when </w:t>
      </w:r>
      <w:r w:rsidR="001E2C4E">
        <w:rPr>
          <w:highlight w:val="green"/>
        </w:rPr>
        <w:t xml:space="preserve">using </w:t>
      </w:r>
      <w:r w:rsidRPr="002A4B99">
        <w:rPr>
          <w:highlight w:val="green"/>
        </w:rPr>
        <w:t>an interpreter may be appropriate</w:t>
      </w:r>
      <w:r>
        <w:t>.</w:t>
      </w:r>
    </w:p>
    <w:p w14:paraId="76E82505" w14:textId="77777777" w:rsidR="00FA693B" w:rsidRDefault="00E94949" w:rsidP="009B5520">
      <w:pPr>
        <w:pStyle w:val="Bulletlist"/>
      </w:pPr>
      <w:r w:rsidRPr="002A4B99">
        <w:rPr>
          <w:highlight w:val="green"/>
        </w:rPr>
        <w:t xml:space="preserve">Processes for booking/accessing </w:t>
      </w:r>
      <w:r w:rsidR="00FA693B" w:rsidRPr="002A4B99">
        <w:rPr>
          <w:highlight w:val="green"/>
        </w:rPr>
        <w:t xml:space="preserve">appropriate </w:t>
      </w:r>
      <w:r w:rsidRPr="002A4B99">
        <w:rPr>
          <w:highlight w:val="green"/>
        </w:rPr>
        <w:t>interpreters</w:t>
      </w:r>
      <w:r w:rsidR="00FA693B" w:rsidRPr="002A4B99">
        <w:rPr>
          <w:highlight w:val="green"/>
        </w:rPr>
        <w:t>, including</w:t>
      </w:r>
      <w:r w:rsidR="00FA693B">
        <w:t>:</w:t>
      </w:r>
    </w:p>
    <w:p w14:paraId="1B9A04F7" w14:textId="3E5F9D9D" w:rsidR="00B077E1" w:rsidRDefault="00FA693B" w:rsidP="00FA693B">
      <w:pPr>
        <w:pStyle w:val="Bulletlist"/>
        <w:numPr>
          <w:ilvl w:val="1"/>
          <w:numId w:val="9"/>
        </w:numPr>
      </w:pPr>
      <w:r w:rsidRPr="002A4B99">
        <w:rPr>
          <w:highlight w:val="green"/>
        </w:rPr>
        <w:t xml:space="preserve">Accessing qualified translators, e.g., through </w:t>
      </w:r>
      <w:r w:rsidR="00DF4037" w:rsidRPr="002A4B99">
        <w:rPr>
          <w:highlight w:val="green"/>
        </w:rPr>
        <w:t>Translating and Interpreting Service (TIS National)</w:t>
      </w:r>
      <w:r w:rsidR="002A4B99">
        <w:t>.</w:t>
      </w:r>
    </w:p>
    <w:p w14:paraId="5010BB85" w14:textId="5B624D48" w:rsidR="009B5520" w:rsidRDefault="00B077E1" w:rsidP="00FA693B">
      <w:pPr>
        <w:pStyle w:val="Bulletlist"/>
        <w:numPr>
          <w:ilvl w:val="1"/>
          <w:numId w:val="9"/>
        </w:numPr>
      </w:pPr>
      <w:r w:rsidRPr="002A4B99">
        <w:rPr>
          <w:highlight w:val="green"/>
        </w:rPr>
        <w:t>Avoiding use of translators known to/who may be able to identify the client</w:t>
      </w:r>
      <w:r w:rsidR="002A4B99">
        <w:t>.</w:t>
      </w:r>
    </w:p>
    <w:p w14:paraId="69D29D1D" w14:textId="1D3D28F0" w:rsidR="00B077E1" w:rsidRDefault="00B077E1" w:rsidP="00FA693B">
      <w:pPr>
        <w:pStyle w:val="Bulletlist"/>
        <w:numPr>
          <w:ilvl w:val="1"/>
          <w:numId w:val="9"/>
        </w:numPr>
      </w:pPr>
      <w:r w:rsidRPr="002A4B99">
        <w:rPr>
          <w:highlight w:val="green"/>
        </w:rPr>
        <w:t>Using informal translators only where risk</w:t>
      </w:r>
      <w:r w:rsidR="002A4B99" w:rsidRPr="002A4B99">
        <w:rPr>
          <w:highlight w:val="green"/>
        </w:rPr>
        <w:t xml:space="preserve"> levels indicate need for immediate translation and no appropriate professional translator can be accessed</w:t>
      </w:r>
      <w:r w:rsidR="002A4B99">
        <w:t>.</w:t>
      </w:r>
    </w:p>
    <w:p w14:paraId="567C0F01" w14:textId="1D50B149" w:rsidR="00FA693B" w:rsidRDefault="00FA693B" w:rsidP="009B5520">
      <w:pPr>
        <w:pStyle w:val="Bulletlist"/>
      </w:pPr>
      <w:r w:rsidRPr="002A4B99">
        <w:rPr>
          <w:highlight w:val="green"/>
        </w:rPr>
        <w:t>Providing translated material</w:t>
      </w:r>
      <w:r>
        <w:t>.</w:t>
      </w:r>
    </w:p>
    <w:p w14:paraId="096F3F12" w14:textId="0AE004A8" w:rsidR="00FB05F9" w:rsidRPr="002E18C7" w:rsidRDefault="00FB05F9" w:rsidP="00FB05F9">
      <w:r>
        <w:t xml:space="preserve">To work effectively with translators, we </w:t>
      </w:r>
      <w:r w:rsidRPr="00FB05F9">
        <w:rPr>
          <w:highlight w:val="green"/>
        </w:rPr>
        <w:t>provide guidance to staff on practicalities of working with translators, e.g., speaking in short sentences, leaving time for translation, speaking directly to the client (not the translator), etc</w:t>
      </w:r>
      <w:r>
        <w:t>.</w:t>
      </w:r>
    </w:p>
    <w:p w14:paraId="5D4BB8F1" w14:textId="75824353" w:rsidR="000517CE" w:rsidRDefault="002F4D30" w:rsidP="002F4D30">
      <w:pPr>
        <w:pStyle w:val="Heading2"/>
      </w:pPr>
      <w:r>
        <w:lastRenderedPageBreak/>
        <w:t>Allocation and Prioritisation</w:t>
      </w:r>
    </w:p>
    <w:p w14:paraId="67BB159F" w14:textId="7458F846" w:rsidR="002F4D30" w:rsidRDefault="00E43CDC" w:rsidP="000517CE">
      <w:r w:rsidRPr="00C13540">
        <w:rPr>
          <w:highlight w:val="green"/>
        </w:rPr>
        <w:t>If you have multiple services/program types, determine how allocation to services/programs is determined</w:t>
      </w:r>
      <w:r>
        <w:t>.</w:t>
      </w:r>
    </w:p>
    <w:p w14:paraId="7E0C122B" w14:textId="2336CC5F" w:rsidR="00E43CDC" w:rsidRDefault="00E43CDC" w:rsidP="000517CE">
      <w:r w:rsidRPr="00720BBB">
        <w:rPr>
          <w:highlight w:val="green"/>
        </w:rPr>
        <w:t xml:space="preserve">Where </w:t>
      </w:r>
      <w:r w:rsidR="00523CE6" w:rsidRPr="00720BBB">
        <w:rPr>
          <w:highlight w:val="green"/>
        </w:rPr>
        <w:t xml:space="preserve">decisions are made regarding allocation of </w:t>
      </w:r>
      <w:proofErr w:type="gramStart"/>
      <w:r w:rsidR="00720BBB">
        <w:rPr>
          <w:highlight w:val="green"/>
        </w:rPr>
        <w:t xml:space="preserve">particular </w:t>
      </w:r>
      <w:r w:rsidR="00523CE6" w:rsidRPr="00720BBB">
        <w:rPr>
          <w:highlight w:val="green"/>
        </w:rPr>
        <w:t>workers</w:t>
      </w:r>
      <w:proofErr w:type="gramEnd"/>
      <w:r w:rsidR="00523CE6" w:rsidRPr="00720BBB">
        <w:rPr>
          <w:highlight w:val="green"/>
        </w:rPr>
        <w:t xml:space="preserve"> given client/family needs, demographics, priorities, etc., outline how these decisions are taken and who is responsible for them</w:t>
      </w:r>
      <w:r w:rsidR="00523CE6">
        <w:t>.</w:t>
      </w:r>
    </w:p>
    <w:p w14:paraId="299F6109" w14:textId="0CEA1F7B" w:rsidR="002F4D30" w:rsidRDefault="00523CE6" w:rsidP="000517CE">
      <w:r w:rsidRPr="00C13540">
        <w:rPr>
          <w:highlight w:val="green"/>
        </w:rPr>
        <w:t xml:space="preserve">Where </w:t>
      </w:r>
      <w:r w:rsidR="0020467E">
        <w:rPr>
          <w:highlight w:val="green"/>
        </w:rPr>
        <w:t xml:space="preserve">the </w:t>
      </w:r>
      <w:r w:rsidR="00C13540" w:rsidRPr="00C13540">
        <w:rPr>
          <w:highlight w:val="green"/>
        </w:rPr>
        <w:t xml:space="preserve">access of </w:t>
      </w:r>
      <w:r w:rsidRPr="00C13540">
        <w:rPr>
          <w:highlight w:val="green"/>
        </w:rPr>
        <w:t>incoming clients/families must be prioritised</w:t>
      </w:r>
      <w:r w:rsidR="00C13540" w:rsidRPr="00C13540">
        <w:rPr>
          <w:highlight w:val="green"/>
        </w:rPr>
        <w:t xml:space="preserve"> (e.g., where demand is beyond capacity), outline how priority access is determined and how fairness/equity principles are uphel</w:t>
      </w:r>
      <w:r w:rsidR="00C13540">
        <w:rPr>
          <w:highlight w:val="green"/>
        </w:rPr>
        <w:t>d in this process</w:t>
      </w:r>
      <w:r w:rsidR="00C13540">
        <w:t>.</w:t>
      </w:r>
    </w:p>
    <w:p w14:paraId="1B1F4B74" w14:textId="037FA647" w:rsidR="002F4D30" w:rsidRDefault="002F4D30" w:rsidP="002F4D30">
      <w:pPr>
        <w:pStyle w:val="Heading2"/>
      </w:pPr>
      <w:r>
        <w:t>Exiting Services</w:t>
      </w:r>
    </w:p>
    <w:p w14:paraId="3F6E634F" w14:textId="5F20BE71" w:rsidR="002F4D30" w:rsidRDefault="00F1447B" w:rsidP="000517CE">
      <w:r>
        <w:t>A client/family may exit a program or service we provide by</w:t>
      </w:r>
      <w:r w:rsidR="008E5F77">
        <w:t xml:space="preserve"> their own choice or where they </w:t>
      </w:r>
      <w:r w:rsidR="008E5F77" w:rsidRPr="008E5F77">
        <w:rPr>
          <w:highlight w:val="green"/>
        </w:rPr>
        <w:t>outline potential reasons for exit, e.g.</w:t>
      </w:r>
      <w:r w:rsidR="008E5F77">
        <w:t>:</w:t>
      </w:r>
    </w:p>
    <w:p w14:paraId="51C6441F" w14:textId="2F845141" w:rsidR="008E5F77" w:rsidRDefault="00ED757F" w:rsidP="008E5F77">
      <w:pPr>
        <w:pStyle w:val="Bulletlist"/>
      </w:pPr>
      <w:r>
        <w:rPr>
          <w:highlight w:val="green"/>
        </w:rPr>
        <w:t>Are n</w:t>
      </w:r>
      <w:r w:rsidR="008E5F77" w:rsidRPr="008E5F77">
        <w:rPr>
          <w:highlight w:val="green"/>
        </w:rPr>
        <w:t>o longer eligible for services</w:t>
      </w:r>
      <w:r w:rsidR="008E5F77">
        <w:t>.</w:t>
      </w:r>
    </w:p>
    <w:p w14:paraId="36C771D8" w14:textId="69682DA7" w:rsidR="00ED757F" w:rsidRDefault="00ED757F" w:rsidP="008E5F77">
      <w:pPr>
        <w:pStyle w:val="Bulletlist"/>
      </w:pPr>
      <w:r w:rsidRPr="00ED757F">
        <w:rPr>
          <w:highlight w:val="green"/>
        </w:rPr>
        <w:t>Have not been contactable</w:t>
      </w:r>
      <w:r w:rsidR="008649B0">
        <w:rPr>
          <w:highlight w:val="green"/>
        </w:rPr>
        <w:t>/Have not engaged/attended appointments</w:t>
      </w:r>
      <w:r w:rsidRPr="00ED757F">
        <w:rPr>
          <w:highlight w:val="green"/>
        </w:rPr>
        <w:t xml:space="preserve"> for</w:t>
      </w:r>
      <w:r>
        <w:t xml:space="preserve"> </w:t>
      </w:r>
      <w:r w:rsidRPr="00ED757F">
        <w:rPr>
          <w:highlight w:val="yellow"/>
        </w:rPr>
        <w:t>period</w:t>
      </w:r>
      <w:r>
        <w:t>.</w:t>
      </w:r>
    </w:p>
    <w:p w14:paraId="5D83B44A" w14:textId="7D3408C3" w:rsidR="008E5F77" w:rsidRDefault="008E5F77" w:rsidP="008E5F77">
      <w:pPr>
        <w:pStyle w:val="Bulletlist"/>
      </w:pPr>
      <w:r w:rsidRPr="008E5F77">
        <w:rPr>
          <w:highlight w:val="green"/>
        </w:rPr>
        <w:t>Have behaved in ways that mean we can no longer safely provide services</w:t>
      </w:r>
      <w:r>
        <w:t>.</w:t>
      </w:r>
    </w:p>
    <w:p w14:paraId="47FB793E" w14:textId="72794D4D" w:rsidR="002F4D30" w:rsidRDefault="0081387E" w:rsidP="000517CE">
      <w:r>
        <w:t xml:space="preserve">We aim to support clients in exiting our </w:t>
      </w:r>
      <w:r w:rsidRPr="0020467E">
        <w:t xml:space="preserve">services by </w:t>
      </w:r>
      <w:r w:rsidRPr="00DF0E7F">
        <w:rPr>
          <w:highlight w:val="green"/>
        </w:rPr>
        <w:t>outline processes, e.g.</w:t>
      </w:r>
      <w:r w:rsidR="00DF0E7F">
        <w:t>:</w:t>
      </w:r>
    </w:p>
    <w:p w14:paraId="3A3FD2AB" w14:textId="5A40E261" w:rsidR="0081387E" w:rsidRDefault="00DB0A59" w:rsidP="0081387E">
      <w:pPr>
        <w:pStyle w:val="Bulletlist"/>
      </w:pPr>
      <w:r w:rsidRPr="00DF0E7F">
        <w:rPr>
          <w:highlight w:val="green"/>
        </w:rPr>
        <w:t xml:space="preserve">Discussing </w:t>
      </w:r>
      <w:r w:rsidR="003647B2" w:rsidRPr="00DF0E7F">
        <w:rPr>
          <w:highlight w:val="green"/>
        </w:rPr>
        <w:t>exit throughout service provision</w:t>
      </w:r>
      <w:r w:rsidRPr="00DF0E7F">
        <w:rPr>
          <w:highlight w:val="green"/>
        </w:rPr>
        <w:t xml:space="preserve"> and actively planning for exit over </w:t>
      </w:r>
      <w:r w:rsidR="005646F3" w:rsidRPr="005646F3">
        <w:rPr>
          <w:highlight w:val="yellow"/>
        </w:rPr>
        <w:t>period</w:t>
      </w:r>
      <w:r w:rsidRPr="00DF0E7F">
        <w:rPr>
          <w:highlight w:val="green"/>
        </w:rPr>
        <w:t xml:space="preserve"> (as appropriate)</w:t>
      </w:r>
      <w:r w:rsidR="003647B2">
        <w:t>.</w:t>
      </w:r>
    </w:p>
    <w:p w14:paraId="2B9E117D" w14:textId="735475E1" w:rsidR="003647B2" w:rsidRDefault="003647B2" w:rsidP="0081387E">
      <w:pPr>
        <w:pStyle w:val="Bulletlist"/>
      </w:pPr>
      <w:r w:rsidRPr="00DF0E7F">
        <w:rPr>
          <w:highlight w:val="green"/>
        </w:rPr>
        <w:t>Framing service/program exit positively (e.g., as achieving a goal/aim, evidence of independence or skill growth, etc.)</w:t>
      </w:r>
      <w:r>
        <w:t>.</w:t>
      </w:r>
    </w:p>
    <w:p w14:paraId="451720A3" w14:textId="679E5270" w:rsidR="00F05071" w:rsidRDefault="00F05071" w:rsidP="0081387E">
      <w:pPr>
        <w:pStyle w:val="Bulletlist"/>
      </w:pPr>
      <w:r w:rsidRPr="00DF0E7F">
        <w:rPr>
          <w:highlight w:val="green"/>
        </w:rPr>
        <w:t>Collaboratively developing personal support plans/recovery plans/progress plans that the person can use post-exit</w:t>
      </w:r>
      <w:r>
        <w:t>.</w:t>
      </w:r>
    </w:p>
    <w:p w14:paraId="23F8EC7D" w14:textId="01F493F7" w:rsidR="00F05071" w:rsidRDefault="00DF0E7F" w:rsidP="0081387E">
      <w:pPr>
        <w:pStyle w:val="Bulletlist"/>
      </w:pPr>
      <w:r>
        <w:rPr>
          <w:highlight w:val="green"/>
        </w:rPr>
        <w:t xml:space="preserve">Discussing referral options and facilitating </w:t>
      </w:r>
      <w:r w:rsidRPr="00DF0E7F">
        <w:rPr>
          <w:highlight w:val="green"/>
        </w:rPr>
        <w:t>referrals where appropriate</w:t>
      </w:r>
      <w:r>
        <w:t>.</w:t>
      </w:r>
    </w:p>
    <w:p w14:paraId="1FA8513E" w14:textId="78821820" w:rsidR="00F05071" w:rsidRDefault="00DB0A59" w:rsidP="00F05071">
      <w:pPr>
        <w:pStyle w:val="Bulletlist"/>
      </w:pPr>
      <w:r w:rsidRPr="00DF0E7F">
        <w:rPr>
          <w:highlight w:val="green"/>
        </w:rPr>
        <w:t xml:space="preserve">Establishing </w:t>
      </w:r>
      <w:r w:rsidR="00F05071" w:rsidRPr="00DF0E7F">
        <w:rPr>
          <w:highlight w:val="green"/>
        </w:rPr>
        <w:t>relationships with alternative services or supports the person will/may use post-exit</w:t>
      </w:r>
      <w:r w:rsidR="00F05071">
        <w:t>.</w:t>
      </w:r>
    </w:p>
    <w:p w14:paraId="2186C3D4" w14:textId="3CB2486A" w:rsidR="00DF0E7F" w:rsidRDefault="00DF0E7F" w:rsidP="00F05071">
      <w:pPr>
        <w:pStyle w:val="Bulletlist"/>
      </w:pPr>
      <w:r w:rsidRPr="00DF0E7F">
        <w:rPr>
          <w:highlight w:val="green"/>
        </w:rPr>
        <w:t>Arranging check in or follow up support (where appropriate)</w:t>
      </w:r>
      <w:r>
        <w:t>.</w:t>
      </w:r>
    </w:p>
    <w:p w14:paraId="590CA088" w14:textId="6143EE6B" w:rsidR="008649B0" w:rsidRDefault="008649B0" w:rsidP="008649B0">
      <w:r>
        <w:t xml:space="preserve">Where </w:t>
      </w:r>
      <w:r w:rsidR="006417F0">
        <w:t xml:space="preserve">we must </w:t>
      </w:r>
      <w:proofErr w:type="gramStart"/>
      <w:r w:rsidR="006417F0">
        <w:t>make a determination</w:t>
      </w:r>
      <w:proofErr w:type="gramEnd"/>
      <w:r w:rsidR="006417F0">
        <w:t xml:space="preserve"> about ceasing a service where the </w:t>
      </w:r>
      <w:r w:rsidR="006417F0" w:rsidRPr="00DC24B8">
        <w:rPr>
          <w:highlight w:val="yellow"/>
        </w:rPr>
        <w:t>client/family</w:t>
      </w:r>
      <w:r w:rsidR="006417F0">
        <w:t xml:space="preserve"> wishes to continue, we </w:t>
      </w:r>
      <w:r w:rsidR="006417F0" w:rsidRPr="00DC24B8">
        <w:rPr>
          <w:highlight w:val="green"/>
        </w:rPr>
        <w:t>outline your processes, including,</w:t>
      </w:r>
    </w:p>
    <w:p w14:paraId="59853E84" w14:textId="091B6F53" w:rsidR="006417F0" w:rsidRDefault="006417F0" w:rsidP="006417F0">
      <w:pPr>
        <w:pStyle w:val="Bulletlist"/>
      </w:pPr>
      <w:r w:rsidRPr="006417F0">
        <w:rPr>
          <w:highlight w:val="green"/>
        </w:rPr>
        <w:t>Who is responsible for making these decisions</w:t>
      </w:r>
      <w:r>
        <w:t>.</w:t>
      </w:r>
    </w:p>
    <w:p w14:paraId="698252CD" w14:textId="7BF38B4B" w:rsidR="006417F0" w:rsidRDefault="006417F0" w:rsidP="006417F0">
      <w:pPr>
        <w:pStyle w:val="Bulletlist"/>
      </w:pPr>
      <w:r w:rsidRPr="006417F0">
        <w:rPr>
          <w:highlight w:val="green"/>
        </w:rPr>
        <w:t>What information should be considered</w:t>
      </w:r>
      <w:r>
        <w:t>.</w:t>
      </w:r>
    </w:p>
    <w:p w14:paraId="5E13F914" w14:textId="01CC29A6" w:rsidR="006417F0" w:rsidRDefault="006417F0" w:rsidP="006417F0">
      <w:pPr>
        <w:pStyle w:val="Bulletlist"/>
      </w:pPr>
      <w:r w:rsidRPr="006417F0">
        <w:rPr>
          <w:highlight w:val="green"/>
        </w:rPr>
        <w:t>How the person/family can appeal the decision</w:t>
      </w:r>
      <w:r>
        <w:t>.</w:t>
      </w:r>
    </w:p>
    <w:p w14:paraId="4476D660" w14:textId="42E4C1FF" w:rsidR="006417F0" w:rsidRDefault="006417F0" w:rsidP="006417F0">
      <w:pPr>
        <w:pStyle w:val="Bulletlist"/>
      </w:pPr>
      <w:r w:rsidRPr="006417F0">
        <w:rPr>
          <w:highlight w:val="green"/>
        </w:rPr>
        <w:t>How the determination and their right to complain/appeal is communicated to the client</w:t>
      </w:r>
      <w:r>
        <w:t>.</w:t>
      </w:r>
    </w:p>
    <w:p w14:paraId="171C6628" w14:textId="77777777" w:rsidR="0022039C" w:rsidRPr="00700CA9" w:rsidRDefault="0022039C" w:rsidP="003D030A">
      <w:pPr>
        <w:pStyle w:val="Heading1"/>
        <w:rPr>
          <w:rFonts w:eastAsia="Muli"/>
        </w:rPr>
      </w:pPr>
      <w:r w:rsidRPr="00700CA9">
        <w:rPr>
          <w:rFonts w:eastAsia="Muli"/>
        </w:rPr>
        <w:t xml:space="preserve">Related Policies and Procedures </w:t>
      </w:r>
    </w:p>
    <w:p w14:paraId="10CBD825" w14:textId="6E8DF9F5" w:rsidR="0022039C" w:rsidRDefault="00164001" w:rsidP="00164001">
      <w:bookmarkStart w:id="5" w:name="_heading=h.xe7cba1wmjkt"/>
      <w:bookmarkEnd w:id="5"/>
      <w:r w:rsidRPr="000A2E04">
        <w:rPr>
          <w:highlight w:val="green"/>
        </w:rPr>
        <w:t xml:space="preserve">List all relevant/related policies and procedures, including any </w:t>
      </w:r>
      <w:r w:rsidR="000A2E04" w:rsidRPr="000A2E04">
        <w:rPr>
          <w:highlight w:val="green"/>
        </w:rPr>
        <w:t xml:space="preserve">that discuss </w:t>
      </w:r>
      <w:proofErr w:type="gramStart"/>
      <w:r w:rsidR="000A2E04" w:rsidRPr="000A2E04">
        <w:rPr>
          <w:highlight w:val="green"/>
        </w:rPr>
        <w:t xml:space="preserve">particular </w:t>
      </w:r>
      <w:r w:rsidR="00CA2D0D">
        <w:rPr>
          <w:highlight w:val="green"/>
        </w:rPr>
        <w:t>relevant</w:t>
      </w:r>
      <w:proofErr w:type="gramEnd"/>
      <w:r w:rsidR="000A2E04" w:rsidRPr="000A2E04">
        <w:rPr>
          <w:highlight w:val="green"/>
        </w:rPr>
        <w:t xml:space="preserve"> responsibilities and all those </w:t>
      </w:r>
      <w:r w:rsidRPr="000A2E04">
        <w:rPr>
          <w:highlight w:val="green"/>
        </w:rPr>
        <w:t xml:space="preserve">referred to </w:t>
      </w:r>
      <w:r w:rsidR="000A2E04" w:rsidRPr="000A2E04">
        <w:rPr>
          <w:highlight w:val="green"/>
        </w:rPr>
        <w:t>in the body of this document.</w:t>
      </w:r>
      <w:r w:rsidR="0022039C" w:rsidRPr="00700CA9">
        <w:t xml:space="preserve"> </w:t>
      </w:r>
    </w:p>
    <w:p w14:paraId="39F1532F" w14:textId="3A23E9FC" w:rsidR="0059549A" w:rsidRDefault="005408A9" w:rsidP="00220DC0">
      <w:pPr>
        <w:pStyle w:val="Bulletlist"/>
      </w:pPr>
      <w:r>
        <w:rPr>
          <w:highlight w:val="green"/>
        </w:rPr>
        <w:t>List a</w:t>
      </w:r>
      <w:r w:rsidR="000702B8" w:rsidRPr="005408A9">
        <w:rPr>
          <w:highlight w:val="green"/>
        </w:rPr>
        <w:t>ll service delivery-focused policies and procedures</w:t>
      </w:r>
    </w:p>
    <w:p w14:paraId="168B286D" w14:textId="60FF3717" w:rsidR="00BA518C" w:rsidRDefault="00BA518C" w:rsidP="00220DC0">
      <w:pPr>
        <w:pStyle w:val="Bulletlist"/>
      </w:pPr>
      <w:r>
        <w:t>Complaints and Appeals Policy and Procedures</w:t>
      </w:r>
    </w:p>
    <w:p w14:paraId="772FAD79" w14:textId="77777777" w:rsidR="0022039C" w:rsidRPr="00700CA9" w:rsidRDefault="0022039C" w:rsidP="003D030A">
      <w:pPr>
        <w:pStyle w:val="Heading1"/>
        <w:rPr>
          <w:rFonts w:eastAsia="Muli"/>
        </w:rPr>
      </w:pPr>
      <w:r w:rsidRPr="00700CA9">
        <w:rPr>
          <w:rFonts w:eastAsia="Muli"/>
        </w:rPr>
        <w:t xml:space="preserve">Supporting Documents </w:t>
      </w:r>
    </w:p>
    <w:p w14:paraId="2DEA9D1B" w14:textId="77A330ED" w:rsidR="00E41FE8" w:rsidRPr="0059549A" w:rsidRDefault="000A2E04" w:rsidP="0059549A">
      <w:pPr>
        <w:rPr>
          <w:highlight w:val="green"/>
        </w:rPr>
      </w:pPr>
      <w:r w:rsidRPr="009C5BD0">
        <w:rPr>
          <w:highlight w:val="green"/>
        </w:rPr>
        <w:t>List all relevant/related documents that are not policies and procedures, including registers, agreements, and guidelines and all supporting documents referred to in the body of this document.</w:t>
      </w:r>
      <w:r w:rsidR="009C5BD0" w:rsidRPr="009C5BD0">
        <w:rPr>
          <w:highlight w:val="green"/>
        </w:rPr>
        <w:t xml:space="preserve"> </w:t>
      </w:r>
      <w:r w:rsidR="009C5BD0">
        <w:rPr>
          <w:highlight w:val="green"/>
        </w:rPr>
        <w:t xml:space="preserve">This </w:t>
      </w:r>
      <w:r w:rsidR="00673912">
        <w:rPr>
          <w:highlight w:val="green"/>
        </w:rPr>
        <w:t xml:space="preserve">should </w:t>
      </w:r>
      <w:r w:rsidR="009C5BD0">
        <w:rPr>
          <w:highlight w:val="green"/>
        </w:rPr>
        <w:t>includ</w:t>
      </w:r>
      <w:r w:rsidR="007818A8">
        <w:rPr>
          <w:highlight w:val="green"/>
        </w:rPr>
        <w:t>e</w:t>
      </w:r>
      <w:r w:rsidR="0059549A">
        <w:rPr>
          <w:highlight w:val="green"/>
        </w:rPr>
        <w:t xml:space="preserve"> a</w:t>
      </w:r>
      <w:r w:rsidR="00673912" w:rsidRPr="0059549A">
        <w:rPr>
          <w:highlight w:val="green"/>
        </w:rPr>
        <w:t xml:space="preserve">ny documents/templates used to collect/record </w:t>
      </w:r>
      <w:r w:rsidR="0059549A" w:rsidRPr="0059549A">
        <w:rPr>
          <w:highlight w:val="green"/>
        </w:rPr>
        <w:t>referral/intake information</w:t>
      </w:r>
      <w:r w:rsidR="0059549A">
        <w:t>.</w:t>
      </w:r>
    </w:p>
    <w:p w14:paraId="1924ECB8" w14:textId="77777777" w:rsidR="0022039C" w:rsidRPr="00700CA9" w:rsidRDefault="0022039C" w:rsidP="003D030A">
      <w:pPr>
        <w:pStyle w:val="Heading1"/>
        <w:rPr>
          <w:rFonts w:eastAsia="Muli"/>
        </w:rPr>
      </w:pPr>
      <w:r w:rsidRPr="00700CA9">
        <w:rPr>
          <w:rFonts w:eastAsia="Muli"/>
        </w:rPr>
        <w:lastRenderedPageBreak/>
        <w:t>Review</w:t>
      </w:r>
    </w:p>
    <w:p w14:paraId="389A1102" w14:textId="628C4731" w:rsidR="0022039C" w:rsidRDefault="0022039C" w:rsidP="003D030A">
      <w:r w:rsidRPr="00700CA9">
        <w:t xml:space="preserve">This document was last reviewed on </w:t>
      </w:r>
      <w:r w:rsidRPr="00700CA9">
        <w:rPr>
          <w:highlight w:val="yellow"/>
        </w:rPr>
        <w:t>date</w:t>
      </w:r>
      <w:r w:rsidRPr="00700CA9">
        <w:t>.</w:t>
      </w:r>
    </w:p>
    <w:p w14:paraId="4C998BCA" w14:textId="510A1082" w:rsidR="004E0AC0" w:rsidRDefault="000A2E04" w:rsidP="003D030A">
      <w:r>
        <w:t xml:space="preserve">This document will be reviewed by </w:t>
      </w:r>
      <w:r w:rsidRPr="000A2E04">
        <w:rPr>
          <w:highlight w:val="yellow"/>
        </w:rPr>
        <w:t>date</w:t>
      </w:r>
      <w:r>
        <w:t>.</w:t>
      </w:r>
    </w:p>
    <w:p w14:paraId="23B1DC57" w14:textId="1E00A000" w:rsidR="009C5BD0" w:rsidRDefault="009C5BD0" w:rsidP="009C5BD0">
      <w:pPr>
        <w:pStyle w:val="Heading1"/>
      </w:pPr>
      <w:r>
        <w:br w:type="column"/>
      </w:r>
      <w:r>
        <w:lastRenderedPageBreak/>
        <w:t>Appendix 1</w:t>
      </w:r>
      <w:r w:rsidR="00F70C30">
        <w:t xml:space="preserve"> – </w:t>
      </w:r>
      <w:r w:rsidR="006B6C00">
        <w:t>Key Service Standards and Requirements</w:t>
      </w:r>
    </w:p>
    <w:p w14:paraId="09A0AA10" w14:textId="78C395F6" w:rsidR="00DF7F2C" w:rsidRDefault="006B6C00" w:rsidP="00DF7F2C">
      <w:r w:rsidRPr="00B36E88">
        <w:rPr>
          <w:highlight w:val="yellow"/>
        </w:rPr>
        <w:t xml:space="preserve">Consider </w:t>
      </w:r>
      <w:r w:rsidR="00570457" w:rsidRPr="00B36E88">
        <w:rPr>
          <w:highlight w:val="yellow"/>
        </w:rPr>
        <w:t xml:space="preserve">copying in key standards and requirements for specialist service types. These are often found in investment specifications or service/practice guidelines, such as this example from the </w:t>
      </w:r>
      <w:r w:rsidR="00B36E88" w:rsidRPr="00B36E88">
        <w:rPr>
          <w:highlight w:val="yellow"/>
        </w:rPr>
        <w:t>DFVSS Investment Specification</w:t>
      </w:r>
      <w:r w:rsidR="00570457" w:rsidRPr="00B36E88">
        <w:rPr>
          <w:highlight w:val="yellow"/>
        </w:rPr>
        <w:t>.</w:t>
      </w:r>
    </w:p>
    <w:p w14:paraId="3DA5A26B" w14:textId="1B701D0D" w:rsidR="00B36E88" w:rsidRDefault="009769B8" w:rsidP="00DE462E">
      <w:pPr>
        <w:pStyle w:val="Heading2"/>
      </w:pPr>
      <w:r w:rsidRPr="009769B8">
        <w:rPr>
          <w:b w:val="0"/>
          <w:bCs/>
          <w:i/>
          <w:iCs/>
        </w:rPr>
        <w:t>Extracts from</w:t>
      </w:r>
      <w:r w:rsidRPr="009769B8">
        <w:rPr>
          <w:b w:val="0"/>
          <w:bCs/>
        </w:rPr>
        <w:t xml:space="preserve"> </w:t>
      </w:r>
      <w:r w:rsidR="00DC77E3">
        <w:t xml:space="preserve">General Information </w:t>
      </w:r>
      <w:r w:rsidR="00B72AC5">
        <w:t xml:space="preserve">for </w:t>
      </w:r>
      <w:r w:rsidR="00272D15">
        <w:t>All Services</w:t>
      </w:r>
      <w:r w:rsidR="00DE462E">
        <w:rPr>
          <w:rStyle w:val="FootnoteReference"/>
        </w:rPr>
        <w:footnoteReference w:id="4"/>
      </w:r>
    </w:p>
    <w:p w14:paraId="719CF2FA" w14:textId="77777777" w:rsidR="00F006BD" w:rsidRDefault="00DC77E3" w:rsidP="000F7CCB">
      <w:r w:rsidRPr="00DC77E3">
        <w:t>Services funded under the Domestic and Family Violence funding area must comply with the relevant statements under ‘Requirements’ as specified in the Service Agreement. Services should also have regard to the relevant best practice statements and guidance under the heading ‘Considerations’.</w:t>
      </w:r>
    </w:p>
    <w:p w14:paraId="7DC60EBE" w14:textId="77777777" w:rsidR="00F006BD" w:rsidRDefault="00DC77E3" w:rsidP="000F7CCB">
      <w:r w:rsidRPr="00DC77E3">
        <w:t>Requirements for all services are outlined in Section 5.1.1. Service delivery requirements for specific Service Users and service types are outlined in sections 6 and 7 below.</w:t>
      </w:r>
    </w:p>
    <w:p w14:paraId="5DE5DF55" w14:textId="1A139EF6" w:rsidR="00DC77E3" w:rsidRDefault="00DC77E3" w:rsidP="00F006BD">
      <w:pPr>
        <w:pStyle w:val="Heading3"/>
      </w:pPr>
      <w:r w:rsidRPr="00DC77E3">
        <w:t xml:space="preserve">5.1.1 Requirements for all services excluding services delivering service types: Access – Events (T102) and System Support – Research (T442) </w:t>
      </w:r>
    </w:p>
    <w:p w14:paraId="7BFD805D" w14:textId="47970080" w:rsidR="000F7CCB" w:rsidRDefault="000F7CCB" w:rsidP="000F7CCB">
      <w:r>
        <w:t xml:space="preserve">Services must comply with the </w:t>
      </w:r>
      <w:hyperlink r:id="rId31" w:history="1">
        <w:r w:rsidRPr="00A53D24">
          <w:rPr>
            <w:rStyle w:val="Hyperlink"/>
            <w:i/>
            <w:iCs/>
            <w:color w:val="2D7E7D" w:themeColor="accent6" w:themeShade="BF"/>
          </w:rPr>
          <w:t>Domestic and family violence services Practice principles, standards</w:t>
        </w:r>
        <w:r w:rsidR="00F006BD" w:rsidRPr="00A53D24">
          <w:rPr>
            <w:rStyle w:val="Hyperlink"/>
            <w:i/>
            <w:iCs/>
            <w:color w:val="2D7E7D" w:themeColor="accent6" w:themeShade="BF"/>
          </w:rPr>
          <w:t xml:space="preserve"> </w:t>
        </w:r>
        <w:r w:rsidRPr="00A53D24">
          <w:rPr>
            <w:rStyle w:val="Hyperlink"/>
            <w:i/>
            <w:iCs/>
            <w:color w:val="2D7E7D" w:themeColor="accent6" w:themeShade="BF"/>
          </w:rPr>
          <w:t>and guidance</w:t>
        </w:r>
      </w:hyperlink>
      <w:r>
        <w:t>. The practice standards outline the everyday practice expectations for people working in</w:t>
      </w:r>
      <w:r w:rsidR="00C26F86">
        <w:t xml:space="preserve"> </w:t>
      </w:r>
      <w:r>
        <w:t>Queensland’s domestic and family violence service system. The key objectives of the practice</w:t>
      </w:r>
      <w:r w:rsidR="00C26F86">
        <w:t xml:space="preserve"> </w:t>
      </w:r>
      <w:r>
        <w:t>standards and guidance are:</w:t>
      </w:r>
    </w:p>
    <w:p w14:paraId="6E5FAF11" w14:textId="69F2E656" w:rsidR="000F7CCB" w:rsidRDefault="000F7CCB" w:rsidP="00C26F86">
      <w:pPr>
        <w:pStyle w:val="Bulletlist"/>
      </w:pPr>
      <w:r>
        <w:t>to provide guidance for people working in domestic and family violence services in Queensland to</w:t>
      </w:r>
      <w:r w:rsidR="00C26F86">
        <w:t xml:space="preserve"> </w:t>
      </w:r>
      <w:r>
        <w:t>deliver quality responses to their clients including victims of domestic and family violence, their</w:t>
      </w:r>
      <w:r w:rsidR="00C26F86">
        <w:t xml:space="preserve"> </w:t>
      </w:r>
      <w:r>
        <w:t>families and perpetrators</w:t>
      </w:r>
    </w:p>
    <w:p w14:paraId="1BEB28DA" w14:textId="4A5C065B" w:rsidR="000F7CCB" w:rsidRDefault="000F7CCB" w:rsidP="00C26F86">
      <w:pPr>
        <w:pStyle w:val="Bulletlist"/>
      </w:pPr>
      <w:r>
        <w:t>to support workers in the domestic and family violence sector to be culturally appropriate,</w:t>
      </w:r>
      <w:r w:rsidR="00C26F86">
        <w:t xml:space="preserve"> </w:t>
      </w:r>
      <w:r>
        <w:t>collaborative, and to have the skills and capabilities to work effectively with a broad range of clients</w:t>
      </w:r>
    </w:p>
    <w:p w14:paraId="3B7797B5" w14:textId="77777777" w:rsidR="00C26F86" w:rsidRDefault="000F7CCB" w:rsidP="00C26F86">
      <w:pPr>
        <w:pStyle w:val="Bulletlist"/>
      </w:pPr>
      <w:r>
        <w:t>to promote greater consistency, transparency and integration of services around client needs.</w:t>
      </w:r>
    </w:p>
    <w:p w14:paraId="70BFD494" w14:textId="4ED61260" w:rsidR="000F7CCB" w:rsidRDefault="000F7CCB" w:rsidP="000F7CCB">
      <w:r>
        <w:t xml:space="preserve">Services must comply with the </w:t>
      </w:r>
      <w:hyperlink r:id="rId32" w:history="1">
        <w:r w:rsidRPr="00A53D24">
          <w:rPr>
            <w:rStyle w:val="Hyperlink"/>
            <w:i/>
            <w:iCs/>
            <w:color w:val="2D7E7D" w:themeColor="accent6" w:themeShade="BF"/>
          </w:rPr>
          <w:t>Domestic and Family Violence Regulatory Framework</w:t>
        </w:r>
      </w:hyperlink>
      <w:r>
        <w:t>. The Regulatory</w:t>
      </w:r>
      <w:r w:rsidR="00C26F86">
        <w:t xml:space="preserve"> </w:t>
      </w:r>
      <w:r>
        <w:t>Framework aims to ensure ongoing compliance of departmentally funded domestic and family violence</w:t>
      </w:r>
      <w:r w:rsidR="00C26F86">
        <w:t xml:space="preserve"> </w:t>
      </w:r>
      <w:r>
        <w:t xml:space="preserve">services with the </w:t>
      </w:r>
      <w:r w:rsidRPr="00A53D24">
        <w:rPr>
          <w:i/>
          <w:iCs/>
        </w:rPr>
        <w:t>Domestic and family violence services Practice principles, standard and guidance</w:t>
      </w:r>
      <w:r>
        <w:t>.</w:t>
      </w:r>
      <w:r w:rsidR="00C26F86">
        <w:t xml:space="preserve"> </w:t>
      </w:r>
      <w:r>
        <w:t xml:space="preserve">The Regulatory Framework is operationalised through the </w:t>
      </w:r>
      <w:hyperlink r:id="rId33" w:history="1">
        <w:r w:rsidRPr="00AB4DFB">
          <w:rPr>
            <w:rStyle w:val="Hyperlink"/>
            <w:i/>
            <w:iCs/>
            <w:color w:val="2D7E7D" w:themeColor="accent6" w:themeShade="BF"/>
          </w:rPr>
          <w:t>Human Services Quality Framework</w:t>
        </w:r>
      </w:hyperlink>
      <w:r>
        <w:t>. The</w:t>
      </w:r>
      <w:r w:rsidR="00C26F86">
        <w:t xml:space="preserve"> </w:t>
      </w:r>
      <w:r>
        <w:t>ongoing monitoring of compliance will promote greater consistency, transparency, integration of</w:t>
      </w:r>
      <w:r w:rsidR="00AB4DFB">
        <w:t xml:space="preserve"> </w:t>
      </w:r>
      <w:r>
        <w:t>services as well as promote continuous improvement across the sector. The Regulatory Framework</w:t>
      </w:r>
      <w:r w:rsidR="00AB4DFB">
        <w:t xml:space="preserve"> </w:t>
      </w:r>
      <w:r>
        <w:t>achieves this by highlighting good practice, identifying areas for improvement through an audit process</w:t>
      </w:r>
      <w:r w:rsidR="00AB4DFB">
        <w:t xml:space="preserve"> </w:t>
      </w:r>
      <w:r>
        <w:t>and providing an early warning of any potential issues.</w:t>
      </w:r>
    </w:p>
    <w:p w14:paraId="0A4B29BB" w14:textId="77777777" w:rsidR="000F7CCB" w:rsidRDefault="000F7CCB" w:rsidP="00286EF2">
      <w:pPr>
        <w:pStyle w:val="Heading4"/>
      </w:pPr>
      <w:r>
        <w:t>5.1.2 Requirements for all services</w:t>
      </w:r>
    </w:p>
    <w:p w14:paraId="1B92E909" w14:textId="529C9C1B" w:rsidR="000F7CCB" w:rsidRDefault="000F7CCB" w:rsidP="00286EF2">
      <w:pPr>
        <w:pStyle w:val="Bulletlist"/>
      </w:pPr>
      <w:r>
        <w:t>All funded services regardless of the service type/s for which they are funded, must prioritise safety</w:t>
      </w:r>
      <w:r w:rsidR="00286EF2">
        <w:t xml:space="preserve"> </w:t>
      </w:r>
      <w:r>
        <w:t>of Service Users who are experiencing domestic and family violence over all other activities of the</w:t>
      </w:r>
      <w:r w:rsidR="00286EF2">
        <w:t xml:space="preserve"> </w:t>
      </w:r>
      <w:r>
        <w:t>service.</w:t>
      </w:r>
    </w:p>
    <w:p w14:paraId="6E02B347" w14:textId="5D1D9F95" w:rsidR="000F7CCB" w:rsidRDefault="000F7CCB" w:rsidP="00286EF2">
      <w:pPr>
        <w:pStyle w:val="Bulletlist"/>
      </w:pPr>
      <w:r>
        <w:t>All funded services must operate with low or no entry requirements for Service Users, for example:</w:t>
      </w:r>
    </w:p>
    <w:p w14:paraId="07AAD7E2" w14:textId="77777777" w:rsidR="00E32192" w:rsidRDefault="000F7CCB" w:rsidP="00E32192">
      <w:pPr>
        <w:pStyle w:val="Bulletlist"/>
        <w:numPr>
          <w:ilvl w:val="1"/>
          <w:numId w:val="9"/>
        </w:numPr>
      </w:pPr>
      <w:r>
        <w:t>access and level of service must not be affected by the Service User’s ability to pay a service</w:t>
      </w:r>
      <w:r w:rsidR="00286EF2">
        <w:t xml:space="preserve"> c</w:t>
      </w:r>
      <w:r>
        <w:t>harge</w:t>
      </w:r>
    </w:p>
    <w:p w14:paraId="152FC8B1" w14:textId="77777777" w:rsidR="00E32192" w:rsidRDefault="000F7CCB" w:rsidP="000F7CCB">
      <w:pPr>
        <w:pStyle w:val="Bulletlist"/>
        <w:numPr>
          <w:ilvl w:val="1"/>
          <w:numId w:val="9"/>
        </w:numPr>
      </w:pPr>
      <w:r>
        <w:t>rather than excluding Service Users with challenging behaviours, services must develop</w:t>
      </w:r>
      <w:r w:rsidR="00E32192">
        <w:t xml:space="preserve"> </w:t>
      </w:r>
      <w:r>
        <w:t>processes for managing these Service Users (within a risk management framework) and</w:t>
      </w:r>
    </w:p>
    <w:p w14:paraId="2BD798CC" w14:textId="503A24EE" w:rsidR="000F7CCB" w:rsidRDefault="000F7CCB" w:rsidP="000F7CCB">
      <w:pPr>
        <w:pStyle w:val="Bulletlist"/>
        <w:numPr>
          <w:ilvl w:val="1"/>
          <w:numId w:val="9"/>
        </w:numPr>
      </w:pPr>
      <w:r>
        <w:t>be flexible, responsive, culturally appropriate and sensitive to the needs, safety, dignity and</w:t>
      </w:r>
      <w:r w:rsidR="00E32192">
        <w:t xml:space="preserve"> </w:t>
      </w:r>
      <w:r>
        <w:t>privacy of individual clients and the target group through the design and delivery of services</w:t>
      </w:r>
      <w:r w:rsidR="00E32192">
        <w:t xml:space="preserve"> </w:t>
      </w:r>
      <w:r>
        <w:t>(operating hours, practices and rules).</w:t>
      </w:r>
    </w:p>
    <w:p w14:paraId="79E3DD73" w14:textId="5AB49F3E" w:rsidR="000F7CCB" w:rsidRDefault="000F7CCB" w:rsidP="009769B8">
      <w:pPr>
        <w:pStyle w:val="Bulletlist"/>
      </w:pPr>
      <w:r>
        <w:lastRenderedPageBreak/>
        <w:t>All services must operate as part of a broader service system that includes police, courts, child</w:t>
      </w:r>
      <w:r w:rsidR="00E32192">
        <w:t xml:space="preserve"> </w:t>
      </w:r>
      <w:r>
        <w:t>protection and non-government organisations to deliver a timely coordinated and client focussed</w:t>
      </w:r>
      <w:r w:rsidR="00E32192">
        <w:t xml:space="preserve"> </w:t>
      </w:r>
      <w:r>
        <w:t xml:space="preserve">response to support victim safety and wellbeing, particularly those in </w:t>
      </w:r>
      <w:proofErr w:type="gramStart"/>
      <w:r>
        <w:t>high risk</w:t>
      </w:r>
      <w:proofErr w:type="gramEnd"/>
      <w:r>
        <w:t xml:space="preserve"> situations.</w:t>
      </w:r>
    </w:p>
    <w:p w14:paraId="4129F824" w14:textId="3048E36F" w:rsidR="000F7CCB" w:rsidRDefault="000F7CCB" w:rsidP="009769B8">
      <w:pPr>
        <w:pStyle w:val="Bulletlist"/>
      </w:pPr>
      <w:r>
        <w:t>All services must work with government and non-government partners to establish suitable client</w:t>
      </w:r>
      <w:r w:rsidR="00E32192">
        <w:t xml:space="preserve"> </w:t>
      </w:r>
      <w:r>
        <w:t>information sharing and referral arrangements to support a coordinated system response.</w:t>
      </w:r>
    </w:p>
    <w:p w14:paraId="1B87344F" w14:textId="1E431E84" w:rsidR="000F7CCB" w:rsidRDefault="000F7CCB" w:rsidP="009769B8">
      <w:pPr>
        <w:pStyle w:val="Bulletlist"/>
      </w:pPr>
      <w:r>
        <w:t>Where an organisation is unable to provide services to a person, due to ineligibility or lack of</w:t>
      </w:r>
      <w:r w:rsidR="00E32192">
        <w:t xml:space="preserve"> </w:t>
      </w:r>
      <w:r>
        <w:t>capacity, processes must be in place to proactively refer the person to an appropriate alternative</w:t>
      </w:r>
      <w:r w:rsidR="00E32192">
        <w:t xml:space="preserve"> </w:t>
      </w:r>
      <w:r>
        <w:t>service.</w:t>
      </w:r>
    </w:p>
    <w:p w14:paraId="7BAE8031" w14:textId="53DF14A9" w:rsidR="000F7CCB" w:rsidRDefault="000F7CCB" w:rsidP="009769B8">
      <w:pPr>
        <w:pStyle w:val="Bulletlist"/>
      </w:pPr>
      <w:r>
        <w:t>Service delivery staff must be competent in risk assessment and safety planning and hold</w:t>
      </w:r>
      <w:r w:rsidR="00E32192">
        <w:t xml:space="preserve"> </w:t>
      </w:r>
      <w:r>
        <w:t>professional qualifications and/or experience working with people affected by domestic and family</w:t>
      </w:r>
      <w:r w:rsidR="00E32192">
        <w:t xml:space="preserve"> </w:t>
      </w:r>
      <w:r>
        <w:t>violence.</w:t>
      </w:r>
    </w:p>
    <w:p w14:paraId="6634796B" w14:textId="551DDC36" w:rsidR="000F7CCB" w:rsidRDefault="000F7CCB" w:rsidP="009769B8">
      <w:pPr>
        <w:pStyle w:val="Bulletlist"/>
      </w:pPr>
      <w:r>
        <w:t>Staff are appropriately trained, are culturally and professionally diverse and have the appropriate</w:t>
      </w:r>
      <w:r w:rsidR="00E32192">
        <w:t xml:space="preserve"> </w:t>
      </w:r>
      <w:r>
        <w:t>skills to meet the complex needs of the target group.</w:t>
      </w:r>
    </w:p>
    <w:p w14:paraId="0622FA7B" w14:textId="7F497F7B" w:rsidR="000F7CCB" w:rsidRDefault="000F7CCB" w:rsidP="009769B8">
      <w:pPr>
        <w:pStyle w:val="Bulletlist"/>
      </w:pPr>
      <w:r>
        <w:t>Services must provide support that is proactive, persistent, reliable, practical and comprehensive.</w:t>
      </w:r>
    </w:p>
    <w:p w14:paraId="3EDB360A" w14:textId="2AEA524E" w:rsidR="000F7CCB" w:rsidRDefault="000F7CCB" w:rsidP="009769B8">
      <w:pPr>
        <w:pStyle w:val="Bulletlist"/>
      </w:pPr>
      <w:r>
        <w:t>Mechanisms must be in place to allow meaningful Service User participation in service planning,</w:t>
      </w:r>
      <w:r w:rsidR="008D217D">
        <w:t xml:space="preserve"> </w:t>
      </w:r>
      <w:r>
        <w:t>design and evaluation.</w:t>
      </w:r>
    </w:p>
    <w:p w14:paraId="5E605492" w14:textId="66924A37" w:rsidR="00641987" w:rsidRDefault="000F7CCB" w:rsidP="009769B8">
      <w:pPr>
        <w:pStyle w:val="Bulletlist"/>
      </w:pPr>
      <w:r>
        <w:t>Strateg</w:t>
      </w:r>
      <w:r w:rsidR="00641987">
        <w:t>ies are implemented to determine effectiveness and appropriateness of the service delivery</w:t>
      </w:r>
      <w:r w:rsidR="009769B8">
        <w:t xml:space="preserve"> </w:t>
      </w:r>
      <w:r w:rsidR="00641987">
        <w:t>model.</w:t>
      </w:r>
      <w:r w:rsidR="009769B8">
        <w:t xml:space="preserve"> […]</w:t>
      </w:r>
    </w:p>
    <w:p w14:paraId="309951C3" w14:textId="77777777" w:rsidR="00641987" w:rsidRDefault="00641987" w:rsidP="009769B8">
      <w:pPr>
        <w:pStyle w:val="Heading4"/>
      </w:pPr>
      <w:r>
        <w:t>5.1.3 Considerations for all services</w:t>
      </w:r>
    </w:p>
    <w:p w14:paraId="04E26ED3" w14:textId="2E2CE49A" w:rsidR="00641987" w:rsidRDefault="00641987" w:rsidP="009769B8">
      <w:pPr>
        <w:pStyle w:val="Bulletlist"/>
      </w:pPr>
      <w:r>
        <w:t>The safety needs of people who experience domestic and family violence are prioritised.</w:t>
      </w:r>
    </w:p>
    <w:p w14:paraId="60B12C60" w14:textId="2F31BBF7" w:rsidR="00641987" w:rsidRDefault="00641987" w:rsidP="009769B8">
      <w:pPr>
        <w:pStyle w:val="Bulletlist"/>
      </w:pPr>
      <w:r>
        <w:t>Services operate from an understanding of domestic and family violence as the abuse of power</w:t>
      </w:r>
      <w:r w:rsidR="009769B8">
        <w:t xml:space="preserve"> </w:t>
      </w:r>
      <w:r>
        <w:t>and control in a relationship and acknowledge that domestic and family violence is a gendered</w:t>
      </w:r>
      <w:r w:rsidR="009769B8">
        <w:t xml:space="preserve"> </w:t>
      </w:r>
      <w:r>
        <w:t>issue in that it has unequal impact on women.</w:t>
      </w:r>
    </w:p>
    <w:p w14:paraId="7DD7FD7B" w14:textId="309FB96F" w:rsidR="00641987" w:rsidRDefault="00641987" w:rsidP="009769B8">
      <w:pPr>
        <w:pStyle w:val="Bulletlist"/>
      </w:pPr>
      <w:r>
        <w:t>Opportunities to link and network with Aboriginal and Torres Strait Islander service providers are</w:t>
      </w:r>
      <w:r w:rsidR="009769B8">
        <w:t xml:space="preserve"> </w:t>
      </w:r>
      <w:r>
        <w:t>maximised with the aim of building capacity of the service to provide culturally appropriate support</w:t>
      </w:r>
      <w:r w:rsidR="009769B8">
        <w:t xml:space="preserve"> </w:t>
      </w:r>
      <w:r>
        <w:t>to Aboriginal and Torres Strait Islander people affected by domestic and family violence.</w:t>
      </w:r>
    </w:p>
    <w:p w14:paraId="62245CFB" w14:textId="77777777" w:rsidR="00641987" w:rsidRDefault="00641987" w:rsidP="00FC65BC">
      <w:pPr>
        <w:pStyle w:val="Heading4"/>
      </w:pPr>
      <w:r>
        <w:t>5.1.4 Considerations for temporary supported accommodation services</w:t>
      </w:r>
    </w:p>
    <w:p w14:paraId="280FE86B" w14:textId="77777777" w:rsidR="00641987" w:rsidRDefault="00641987" w:rsidP="00641987">
      <w:r>
        <w:t>It is expected that service delivery will be underpinned by the following approaches:</w:t>
      </w:r>
    </w:p>
    <w:p w14:paraId="0554258B" w14:textId="77777777" w:rsidR="00641987" w:rsidRPr="00FC65BC" w:rsidRDefault="00641987" w:rsidP="00641987">
      <w:pPr>
        <w:rPr>
          <w:u w:val="single"/>
        </w:rPr>
      </w:pPr>
      <w:r w:rsidRPr="00FC65BC">
        <w:rPr>
          <w:u w:val="single"/>
        </w:rPr>
        <w:t>Housing first</w:t>
      </w:r>
    </w:p>
    <w:p w14:paraId="2F720D65" w14:textId="77777777" w:rsidR="00FC65BC" w:rsidRDefault="00641987" w:rsidP="00641987">
      <w:r>
        <w:t>A housing first approach transitions a person or household, wherever possible, straight from</w:t>
      </w:r>
      <w:r w:rsidR="00FC65BC">
        <w:t xml:space="preserve"> </w:t>
      </w:r>
      <w:r>
        <w:t>homelessness into stable, sustainable housing, with support provided where necessary to sustain the</w:t>
      </w:r>
      <w:r w:rsidR="00FC65BC">
        <w:t xml:space="preserve"> </w:t>
      </w:r>
      <w:r>
        <w:t>tenancy. This approach minimises vulnerable people having to be moved through multiple short-term,</w:t>
      </w:r>
      <w:r w:rsidR="00FC65BC">
        <w:t xml:space="preserve"> </w:t>
      </w:r>
      <w:r>
        <w:t>temporary living situations which can be unsettling and prevent their stabilisation.</w:t>
      </w:r>
    </w:p>
    <w:p w14:paraId="1FB5495D" w14:textId="0BA44812" w:rsidR="00641987" w:rsidRDefault="00641987" w:rsidP="00641987">
      <w:r>
        <w:t>While the primary concern for women escaping domestic and family violence, who access temporary</w:t>
      </w:r>
      <w:r w:rsidR="00FC65BC">
        <w:t xml:space="preserve"> </w:t>
      </w:r>
      <w:r>
        <w:t>supported accommodation, is safety, the principles of housing first also apply.</w:t>
      </w:r>
    </w:p>
    <w:p w14:paraId="08CC3CA5" w14:textId="77777777" w:rsidR="00641987" w:rsidRDefault="00641987" w:rsidP="00641987">
      <w:r>
        <w:t>These principles include:</w:t>
      </w:r>
    </w:p>
    <w:p w14:paraId="7BA722BD" w14:textId="6DDB4625" w:rsidR="00641987" w:rsidRDefault="00641987" w:rsidP="00FC65BC">
      <w:pPr>
        <w:pStyle w:val="Bulletlist"/>
      </w:pPr>
      <w:r>
        <w:t>accessing housing as quickly as possible, with ongoing support provided (where needed) to</w:t>
      </w:r>
      <w:r w:rsidR="00FC65BC">
        <w:t xml:space="preserve"> </w:t>
      </w:r>
      <w:r>
        <w:t>establish and consolidate any new tenancy</w:t>
      </w:r>
    </w:p>
    <w:p w14:paraId="1F904290" w14:textId="101EE9FD" w:rsidR="000F7CCB" w:rsidRDefault="00641987" w:rsidP="00FC65BC">
      <w:pPr>
        <w:pStyle w:val="Bulletlist"/>
      </w:pPr>
      <w:r>
        <w:t>minimising moves between multiple short-term accommodation arrangements</w:t>
      </w:r>
    </w:p>
    <w:p w14:paraId="3E56BFF1" w14:textId="0D033BCC" w:rsidR="00641987" w:rsidRDefault="00641987" w:rsidP="00FC65BC">
      <w:pPr>
        <w:pStyle w:val="Bulletlist"/>
      </w:pPr>
      <w:r>
        <w:t>providing tenancy sustainment support to keep people safe and housed</w:t>
      </w:r>
    </w:p>
    <w:p w14:paraId="210E5080" w14:textId="5019AD04" w:rsidR="00641987" w:rsidRDefault="00641987" w:rsidP="00FC65BC">
      <w:pPr>
        <w:pStyle w:val="Bulletlist"/>
      </w:pPr>
      <w:r>
        <w:t>working with other service providers to deliver coordinated services once housed</w:t>
      </w:r>
    </w:p>
    <w:p w14:paraId="6B22BFD2" w14:textId="2961E653" w:rsidR="00641987" w:rsidRDefault="00641987" w:rsidP="00FC65BC">
      <w:pPr>
        <w:pStyle w:val="Bulletlist"/>
      </w:pPr>
      <w:r>
        <w:t>connecting clients with mainstream or specialist services to provide ongoing support directed at</w:t>
      </w:r>
      <w:r w:rsidR="00FC65BC">
        <w:t xml:space="preserve"> </w:t>
      </w:r>
      <w:r>
        <w:t>helping them to stay safe and to sustain their tenancy</w:t>
      </w:r>
    </w:p>
    <w:p w14:paraId="56FB49A1" w14:textId="1966A0BE" w:rsidR="00641987" w:rsidRDefault="00641987" w:rsidP="00FC65BC">
      <w:pPr>
        <w:pStyle w:val="Bulletlist"/>
      </w:pPr>
      <w:r>
        <w:t>facilitating connections to local community and social supports to build community connectedness</w:t>
      </w:r>
      <w:r w:rsidR="00FC65BC">
        <w:t xml:space="preserve"> </w:t>
      </w:r>
      <w:r>
        <w:t>and reduce social isolation.</w:t>
      </w:r>
    </w:p>
    <w:p w14:paraId="014493F0" w14:textId="77777777" w:rsidR="00641987" w:rsidRPr="00FC65BC" w:rsidRDefault="00641987" w:rsidP="00641987">
      <w:pPr>
        <w:rPr>
          <w:u w:val="single"/>
        </w:rPr>
      </w:pPr>
      <w:r w:rsidRPr="00FC65BC">
        <w:rPr>
          <w:u w:val="single"/>
        </w:rPr>
        <w:t>Duration of need</w:t>
      </w:r>
    </w:p>
    <w:p w14:paraId="644EAE50" w14:textId="788B96D9" w:rsidR="00641987" w:rsidRDefault="00641987" w:rsidP="00641987">
      <w:r>
        <w:t>A duration of need approach means providing accommodation and/or support for as long as the client</w:t>
      </w:r>
      <w:r w:rsidR="00F94241">
        <w:t xml:space="preserve"> </w:t>
      </w:r>
      <w:r>
        <w:t>requires to remain safe and to obtain and maintain sustainable housing. It is based on a person’s</w:t>
      </w:r>
      <w:r w:rsidR="00F94241">
        <w:t xml:space="preserve"> </w:t>
      </w:r>
      <w:r>
        <w:t xml:space="preserve">assessed </w:t>
      </w:r>
      <w:r>
        <w:lastRenderedPageBreak/>
        <w:t>risk and need rather than an arbitrary time limit. Ongoing assessment determines a client’s</w:t>
      </w:r>
      <w:r w:rsidR="00F94241">
        <w:t xml:space="preserve"> </w:t>
      </w:r>
      <w:r>
        <w:t xml:space="preserve">changing risks and needs </w:t>
      </w:r>
      <w:proofErr w:type="gramStart"/>
      <w:r>
        <w:t>and,</w:t>
      </w:r>
      <w:proofErr w:type="gramEnd"/>
      <w:r>
        <w:t xml:space="preserve"> once housed, clients should be connected with other services to provide</w:t>
      </w:r>
      <w:r w:rsidR="00F94241">
        <w:t xml:space="preserve"> </w:t>
      </w:r>
      <w:r>
        <w:t>ongoing support directed at helping them to stay safe and sustain their tenancy.</w:t>
      </w:r>
    </w:p>
    <w:p w14:paraId="398210F3" w14:textId="77777777" w:rsidR="00641987" w:rsidRDefault="00641987" w:rsidP="00641987">
      <w:r>
        <w:t>The principles supporting a duration of need approach include:</w:t>
      </w:r>
    </w:p>
    <w:p w14:paraId="66AA8F57" w14:textId="5D37CC84" w:rsidR="00641987" w:rsidRDefault="00641987" w:rsidP="00F94241">
      <w:pPr>
        <w:pStyle w:val="Bulletlist"/>
      </w:pPr>
      <w:r>
        <w:t>stays in supported accommodation are as short as possible, with transition to longer term housing</w:t>
      </w:r>
      <w:r w:rsidR="00F94241">
        <w:t xml:space="preserve"> </w:t>
      </w:r>
      <w:r>
        <w:t>as the goal (in line with a housing first approach)</w:t>
      </w:r>
    </w:p>
    <w:p w14:paraId="3849DF10" w14:textId="40ADBA92" w:rsidR="00641987" w:rsidRDefault="00641987" w:rsidP="00F94241">
      <w:pPr>
        <w:pStyle w:val="Bulletlist"/>
      </w:pPr>
      <w:r>
        <w:t>a focus on addressing client risks and needs in the context of case management</w:t>
      </w:r>
    </w:p>
    <w:p w14:paraId="04FF3638" w14:textId="63DB4BFA" w:rsidR="00641987" w:rsidRDefault="00641987" w:rsidP="00F94241">
      <w:pPr>
        <w:pStyle w:val="Bulletlist"/>
      </w:pPr>
      <w:r>
        <w:t>regular and ongoing assessment of risk and need</w:t>
      </w:r>
    </w:p>
    <w:p w14:paraId="4DCFA7CF" w14:textId="6EFEA6F6" w:rsidR="00641987" w:rsidRDefault="00641987" w:rsidP="00F94241">
      <w:pPr>
        <w:pStyle w:val="Bulletlist"/>
      </w:pPr>
      <w:r>
        <w:t>supporting the client to find, establish and be able to sustain safe, independent housing</w:t>
      </w:r>
    </w:p>
    <w:p w14:paraId="7B64FF33" w14:textId="15ECA892" w:rsidR="00641987" w:rsidRDefault="00641987" w:rsidP="00F94241">
      <w:pPr>
        <w:pStyle w:val="Bulletlist"/>
      </w:pPr>
      <w:r>
        <w:t>ensuring that the client has the community, social and agency support needed to sustain them in</w:t>
      </w:r>
      <w:r w:rsidR="00F94241">
        <w:t xml:space="preserve"> </w:t>
      </w:r>
      <w:r>
        <w:t>independent housing</w:t>
      </w:r>
    </w:p>
    <w:p w14:paraId="67E1ECE9" w14:textId="587FA8DD" w:rsidR="00641987" w:rsidRDefault="00641987" w:rsidP="00F94241">
      <w:pPr>
        <w:pStyle w:val="Bulletlist"/>
      </w:pPr>
      <w:r>
        <w:t>encouraging clients to be self-reliant by providing them with the skills and knowledge necessary to</w:t>
      </w:r>
      <w:r w:rsidR="00F94241">
        <w:t xml:space="preserve"> </w:t>
      </w:r>
      <w:r>
        <w:t>obtain the services they require and to avoid dependency on homelessness services.</w:t>
      </w:r>
    </w:p>
    <w:p w14:paraId="2C5192AF" w14:textId="77777777" w:rsidR="00641987" w:rsidRPr="008A5AFC" w:rsidRDefault="00641987" w:rsidP="00641987"/>
    <w:sectPr w:rsidR="00641987" w:rsidRPr="008A5AFC" w:rsidSect="00996940">
      <w:headerReference w:type="even" r:id="rId34"/>
      <w:headerReference w:type="default" r:id="rId35"/>
      <w:footerReference w:type="default" r:id="rId36"/>
      <w:headerReference w:type="first" r:id="rId37"/>
      <w:pgSz w:w="11906" w:h="16838"/>
      <w:pgMar w:top="1440" w:right="1080" w:bottom="1440" w:left="1080" w:header="708" w:footer="58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62EB0" w14:textId="77777777" w:rsidR="00F822DA" w:rsidRPr="00700CA9" w:rsidRDefault="00F822DA" w:rsidP="00F916BB">
      <w:r w:rsidRPr="00700CA9">
        <w:separator/>
      </w:r>
    </w:p>
  </w:endnote>
  <w:endnote w:type="continuationSeparator" w:id="0">
    <w:p w14:paraId="24D4BB6C" w14:textId="77777777" w:rsidR="00F822DA" w:rsidRPr="00700CA9" w:rsidRDefault="00F822DA" w:rsidP="00F916BB">
      <w:r w:rsidRPr="00700CA9">
        <w:continuationSeparator/>
      </w:r>
    </w:p>
  </w:endnote>
  <w:endnote w:type="continuationNotice" w:id="1">
    <w:p w14:paraId="3CE61DAD" w14:textId="77777777" w:rsidR="00F822DA" w:rsidRDefault="00F822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li">
    <w:altName w:val="Calibri"/>
    <w:panose1 w:val="00000800000000000000"/>
    <w:charset w:val="00"/>
    <w:family w:val="auto"/>
    <w:pitch w:val="variable"/>
    <w:sig w:usb0="20000007" w:usb1="00000001" w:usb2="00000000" w:usb3="00000000" w:csb0="00000193"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561285"/>
      <w:docPartObj>
        <w:docPartGallery w:val="Page Numbers (Bottom of Page)"/>
        <w:docPartUnique/>
      </w:docPartObj>
    </w:sdtPr>
    <w:sdtEndPr/>
    <w:sdtContent>
      <w:p w14:paraId="6348BE38" w14:textId="77777777" w:rsidR="006647AA" w:rsidRPr="00700CA9" w:rsidRDefault="006647AA" w:rsidP="00F916BB">
        <w:pPr>
          <w:pStyle w:val="Footer"/>
        </w:pPr>
        <w:r w:rsidRPr="00700CA9">
          <w:fldChar w:fldCharType="begin"/>
        </w:r>
        <w:r w:rsidRPr="00700CA9">
          <w:instrText xml:space="preserve"> PAGE   \* MERGEFORMAT </w:instrText>
        </w:r>
        <w:r w:rsidRPr="00700CA9">
          <w:fldChar w:fldCharType="separate"/>
        </w:r>
        <w:r w:rsidRPr="00700CA9">
          <w:t>2</w:t>
        </w:r>
        <w:r w:rsidRPr="00700CA9">
          <w:fldChar w:fldCharType="end"/>
        </w:r>
      </w:p>
    </w:sdtContent>
  </w:sdt>
  <w:p w14:paraId="78B66632" w14:textId="77777777" w:rsidR="006647AA" w:rsidRPr="00700CA9" w:rsidRDefault="006647AA" w:rsidP="00F91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4B9D8" w14:textId="77777777" w:rsidR="00F822DA" w:rsidRPr="00700CA9" w:rsidRDefault="00F822DA" w:rsidP="00F916BB">
      <w:r w:rsidRPr="00700CA9">
        <w:separator/>
      </w:r>
    </w:p>
  </w:footnote>
  <w:footnote w:type="continuationSeparator" w:id="0">
    <w:p w14:paraId="746B8089" w14:textId="77777777" w:rsidR="00F822DA" w:rsidRPr="00700CA9" w:rsidRDefault="00F822DA" w:rsidP="00F916BB">
      <w:r w:rsidRPr="00700CA9">
        <w:continuationSeparator/>
      </w:r>
    </w:p>
  </w:footnote>
  <w:footnote w:type="continuationNotice" w:id="1">
    <w:p w14:paraId="359C9547" w14:textId="77777777" w:rsidR="00F822DA" w:rsidRDefault="00F822DA">
      <w:pPr>
        <w:spacing w:before="0" w:after="0" w:line="240" w:lineRule="auto"/>
      </w:pPr>
    </w:p>
  </w:footnote>
  <w:footnote w:id="2">
    <w:p w14:paraId="49D8C234" w14:textId="48074F70" w:rsidR="006C47BE" w:rsidRPr="00E247FF" w:rsidRDefault="006C47BE" w:rsidP="00F916BB">
      <w:pPr>
        <w:rPr>
          <w:rFonts w:eastAsia="Times New Roman"/>
          <w:color w:val="424242"/>
          <w:sz w:val="18"/>
          <w:szCs w:val="18"/>
        </w:rPr>
      </w:pPr>
      <w:r w:rsidRPr="00E247FF">
        <w:rPr>
          <w:rStyle w:val="FootnoteReference"/>
          <w:sz w:val="18"/>
          <w:szCs w:val="18"/>
        </w:rPr>
        <w:footnoteRef/>
      </w:r>
      <w:r w:rsidRPr="00E247FF">
        <w:rPr>
          <w:sz w:val="18"/>
          <w:szCs w:val="18"/>
        </w:rPr>
        <w:t xml:space="preserve"> At time of writing, the current Quality Framework is V9.0. For the latest version of the Quality Framework and associated User Guides, contact Department of Child Safety, Seniors and Disability Services 1800 034 022, </w:t>
      </w:r>
      <w:hyperlink r:id="rId1" w:history="1">
        <w:r w:rsidRPr="00E247FF">
          <w:rPr>
            <w:rFonts w:eastAsia="Times New Roman"/>
            <w:color w:val="2D7E7D" w:themeColor="accent6" w:themeShade="BF"/>
            <w:sz w:val="18"/>
            <w:szCs w:val="18"/>
            <w:u w:val="single"/>
            <w:bdr w:val="none" w:sz="0" w:space="0" w:color="auto" w:frame="1"/>
          </w:rPr>
          <w:t>hsqf@qld.gov.au</w:t>
        </w:r>
      </w:hyperlink>
      <w:r w:rsidRPr="00E247FF">
        <w:rPr>
          <w:rFonts w:eastAsia="Times New Roman"/>
          <w:color w:val="424242"/>
          <w:sz w:val="18"/>
          <w:szCs w:val="18"/>
          <w:bdr w:val="none" w:sz="0" w:space="0" w:color="auto" w:frame="1"/>
        </w:rPr>
        <w:t xml:space="preserve"> or </w:t>
      </w:r>
      <w:hyperlink r:id="rId2" w:tgtFrame="_blank" w:history="1">
        <w:r w:rsidRPr="00E247FF">
          <w:rPr>
            <w:rFonts w:eastAsia="Times New Roman"/>
            <w:color w:val="2D7E7D" w:themeColor="accent6" w:themeShade="BF"/>
            <w:sz w:val="18"/>
            <w:szCs w:val="18"/>
            <w:u w:val="single"/>
            <w:bdr w:val="none" w:sz="0" w:space="0" w:color="auto" w:frame="1"/>
          </w:rPr>
          <w:t>www.dcssds.qld.gov.au/our-work/human-services-quality-framework</w:t>
        </w:r>
      </w:hyperlink>
      <w:r w:rsidRPr="00E247FF">
        <w:rPr>
          <w:rFonts w:eastAsia="Times New Roman"/>
          <w:color w:val="424242"/>
          <w:sz w:val="18"/>
          <w:szCs w:val="18"/>
          <w:bdr w:val="none" w:sz="0" w:space="0" w:color="auto" w:frame="1"/>
        </w:rPr>
        <w:t>.</w:t>
      </w:r>
    </w:p>
    <w:p w14:paraId="1B9F2B78" w14:textId="77777777" w:rsidR="006C47BE" w:rsidRPr="00700CA9" w:rsidRDefault="006C47BE" w:rsidP="00F916BB">
      <w:pPr>
        <w:pStyle w:val="FootnoteText"/>
      </w:pPr>
    </w:p>
  </w:footnote>
  <w:footnote w:id="3">
    <w:p w14:paraId="701792D0" w14:textId="77777777" w:rsidR="0044065C" w:rsidRPr="00B863DB" w:rsidRDefault="0044065C" w:rsidP="0044065C">
      <w:pPr>
        <w:pStyle w:val="FootnoteText"/>
        <w:rPr>
          <w:sz w:val="18"/>
          <w:szCs w:val="18"/>
        </w:rPr>
      </w:pPr>
      <w:r w:rsidRPr="00B863DB">
        <w:rPr>
          <w:rStyle w:val="FootnoteReference"/>
          <w:sz w:val="18"/>
          <w:szCs w:val="18"/>
        </w:rPr>
        <w:footnoteRef/>
      </w:r>
      <w:r w:rsidRPr="00B863DB">
        <w:rPr>
          <w:sz w:val="18"/>
          <w:szCs w:val="18"/>
        </w:rPr>
        <w:t xml:space="preserve"> Depending on service types provided, additional DCCSDS policies may apply. See program descriptions and Child Safety Practice Manual for guidance on additional inclusions.</w:t>
      </w:r>
    </w:p>
  </w:footnote>
  <w:footnote w:id="4">
    <w:p w14:paraId="67DE0353" w14:textId="6CF43DD4" w:rsidR="00DE462E" w:rsidRPr="00DE462E" w:rsidRDefault="00DE462E">
      <w:pPr>
        <w:pStyle w:val="FootnoteText"/>
        <w:rPr>
          <w:lang w:val="en-GB"/>
        </w:rPr>
      </w:pPr>
      <w:r>
        <w:rPr>
          <w:rStyle w:val="FootnoteReference"/>
        </w:rPr>
        <w:footnoteRef/>
      </w:r>
      <w:r>
        <w:t xml:space="preserve"> </w:t>
      </w:r>
      <w:hyperlink r:id="rId3" w:history="1">
        <w:r w:rsidRPr="00DE462E">
          <w:rPr>
            <w:rStyle w:val="Hyperlink"/>
            <w:color w:val="2D7E7D" w:themeColor="accent6" w:themeShade="BF"/>
            <w:sz w:val="18"/>
            <w:szCs w:val="18"/>
          </w:rPr>
          <w:t>Domestic and Family Violence Support Services Investment Specification</w:t>
        </w:r>
      </w:hyperlink>
      <w:r w:rsidRPr="00DE462E">
        <w:rPr>
          <w:sz w:val="18"/>
          <w:szCs w:val="18"/>
        </w:rPr>
        <w:t>, pp. 11-12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51149" w14:textId="77777777" w:rsidR="006647AA" w:rsidRPr="00700CA9" w:rsidRDefault="00A0488D" w:rsidP="00F916BB">
    <w:pPr>
      <w:pStyle w:val="Header"/>
    </w:pPr>
    <w:r>
      <w:rPr>
        <w:noProof/>
      </w:rPr>
      <w:pict w14:anchorId="24784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59813" o:spid="_x0000_s1025" type="#_x0000_t75" alt="" style="position:absolute;margin-left:0;margin-top:0;width:595.2pt;height:841.9pt;z-index:-251657728;mso-wrap-edited:f;mso-width-percent:0;mso-height-percent:0;mso-position-horizontal:center;mso-position-horizontal-relative:margin;mso-position-vertical:center;mso-position-vertical-relative:margin;mso-width-percent:0;mso-height-percent:0" o:allowincell="f">
          <v:imagedata r:id="rId1" o:title="qcoss_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BF8DD" w14:textId="14A918E6" w:rsidR="006647AA" w:rsidRPr="00700CA9" w:rsidRDefault="007A1D7B" w:rsidP="00F916BB">
    <w:pPr>
      <w:pStyle w:val="Header"/>
    </w:pPr>
    <w:r w:rsidRPr="00700CA9">
      <w:rPr>
        <w:noProof/>
      </w:rPr>
      <w:drawing>
        <wp:anchor distT="0" distB="0" distL="114300" distR="114300" simplePos="0" relativeHeight="251657728" behindDoc="1" locked="0" layoutInCell="1" allowOverlap="1" wp14:anchorId="362CFE01" wp14:editId="7F3E493C">
          <wp:simplePos x="0" y="0"/>
          <wp:positionH relativeFrom="page">
            <wp:align>right</wp:align>
          </wp:positionH>
          <wp:positionV relativeFrom="paragraph">
            <wp:posOffset>-436570</wp:posOffset>
          </wp:positionV>
          <wp:extent cx="7547212" cy="10671879"/>
          <wp:effectExtent l="0" t="0" r="0" b="0"/>
          <wp:wrapNone/>
          <wp:docPr id="1" name="Picture 1" descr="Header: QCOSS logo&#10;Footer: Thin QCOSS brand colour bars - Gold, aqua and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der: QCOSS logo&#10;Footer: Thin QCOSS brand colour bars - Gold, aqua and orange"/>
                  <pic:cNvPicPr/>
                </pic:nvPicPr>
                <pic:blipFill>
                  <a:blip r:embed="rId1">
                    <a:extLst>
                      <a:ext uri="{28A0092B-C50C-407E-A947-70E740481C1C}">
                        <a14:useLocalDpi xmlns:a14="http://schemas.microsoft.com/office/drawing/2010/main" val="0"/>
                      </a:ext>
                    </a:extLst>
                  </a:blip>
                  <a:stretch>
                    <a:fillRect/>
                  </a:stretch>
                </pic:blipFill>
                <pic:spPr>
                  <a:xfrm>
                    <a:off x="0" y="0"/>
                    <a:ext cx="7547212" cy="106718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9324" w14:textId="53EAFB17" w:rsidR="006647AA" w:rsidRPr="00164BB5" w:rsidRDefault="007A1D7B" w:rsidP="00F916BB">
    <w:pPr>
      <w:pStyle w:val="Header"/>
    </w:pPr>
    <w:r w:rsidRPr="00164BB5">
      <w:rPr>
        <w:noProof/>
        <w:highlight w:val="cyan"/>
      </w:rPr>
      <w:drawing>
        <wp:anchor distT="0" distB="0" distL="114300" distR="114300" simplePos="0" relativeHeight="251656704" behindDoc="1" locked="0" layoutInCell="1" allowOverlap="1" wp14:anchorId="3EBD164C" wp14:editId="4F525F38">
          <wp:simplePos x="0" y="0"/>
          <wp:positionH relativeFrom="page">
            <wp:align>left</wp:align>
          </wp:positionH>
          <wp:positionV relativeFrom="paragraph">
            <wp:posOffset>-436570</wp:posOffset>
          </wp:positionV>
          <wp:extent cx="7547212" cy="10671879"/>
          <wp:effectExtent l="0" t="0" r="0" b="0"/>
          <wp:wrapNone/>
          <wp:docPr id="4" name="Picture 4" descr="Header: QCOSS logo&#10;Footer: Thin QCOSS brand colour bars - Gold, aqua and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ader: QCOSS logo&#10;Footer: Thin QCOSS brand colour bars - Gold, aqua and orange"/>
                  <pic:cNvPicPr/>
                </pic:nvPicPr>
                <pic:blipFill>
                  <a:blip r:embed="rId1">
                    <a:extLst>
                      <a:ext uri="{28A0092B-C50C-407E-A947-70E740481C1C}">
                        <a14:useLocalDpi xmlns:a14="http://schemas.microsoft.com/office/drawing/2010/main" val="0"/>
                      </a:ext>
                    </a:extLst>
                  </a:blip>
                  <a:stretch>
                    <a:fillRect/>
                  </a:stretch>
                </pic:blipFill>
                <pic:spPr>
                  <a:xfrm>
                    <a:off x="0" y="0"/>
                    <a:ext cx="7547212" cy="10671879"/>
                  </a:xfrm>
                  <a:prstGeom prst="rect">
                    <a:avLst/>
                  </a:prstGeom>
                </pic:spPr>
              </pic:pic>
            </a:graphicData>
          </a:graphic>
          <wp14:sizeRelH relativeFrom="margin">
            <wp14:pctWidth>0</wp14:pctWidth>
          </wp14:sizeRelH>
          <wp14:sizeRelV relativeFrom="margin">
            <wp14:pctHeight>0</wp14:pctHeight>
          </wp14:sizeRelV>
        </wp:anchor>
      </w:drawing>
    </w:r>
    <w:r w:rsidR="00352213">
      <w:t>Service Access</w:t>
    </w:r>
    <w:r w:rsidR="003839FD">
      <w:t xml:space="preserve"> </w:t>
    </w:r>
    <w:r w:rsidR="00352213">
      <w:t xml:space="preserve">and Exit </w:t>
    </w:r>
    <w:r w:rsidR="00164BB5" w:rsidRPr="00164BB5">
      <w:t xml:space="preserve">Policy and Procedures </w:t>
    </w:r>
    <w:r w:rsidR="00DA05C9" w:rsidRPr="00164BB5">
      <w:t xml:space="preserve">Template – </w:t>
    </w:r>
    <w:r w:rsidR="00352213">
      <w:t xml:space="preserve">October </w:t>
    </w:r>
    <w:r w:rsidR="00DA05C9" w:rsidRPr="00164BB5">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1706C"/>
    <w:multiLevelType w:val="multilevel"/>
    <w:tmpl w:val="4CDE6064"/>
    <w:lvl w:ilvl="0">
      <w:start w:val="1"/>
      <w:numFmt w:val="bullet"/>
      <w:pStyle w:val="Figurecaption"/>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9A24998"/>
    <w:multiLevelType w:val="multilevel"/>
    <w:tmpl w:val="15C475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C885D29"/>
    <w:multiLevelType w:val="hybridMultilevel"/>
    <w:tmpl w:val="7BBEA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902FF"/>
    <w:multiLevelType w:val="hybridMultilevel"/>
    <w:tmpl w:val="497682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DA30FA"/>
    <w:multiLevelType w:val="hybridMultilevel"/>
    <w:tmpl w:val="4176A7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9D1348"/>
    <w:multiLevelType w:val="hybridMultilevel"/>
    <w:tmpl w:val="E9924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7524B"/>
    <w:multiLevelType w:val="hybridMultilevel"/>
    <w:tmpl w:val="9496B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A15774"/>
    <w:multiLevelType w:val="hybridMultilevel"/>
    <w:tmpl w:val="7D04A87E"/>
    <w:lvl w:ilvl="0" w:tplc="C58AD1A6">
      <w:start w:val="1"/>
      <w:numFmt w:val="bullet"/>
      <w:lvlText w:val=""/>
      <w:lvlJc w:val="left"/>
      <w:pPr>
        <w:ind w:left="720" w:hanging="360"/>
      </w:pPr>
      <w:rPr>
        <w:rFonts w:ascii="Symbol" w:hAnsi="Symbol" w:hint="default"/>
        <w:strike w:val="0"/>
        <w:dstrike w:val="0"/>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26D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C105B0E"/>
    <w:multiLevelType w:val="hybridMultilevel"/>
    <w:tmpl w:val="D5D4D54E"/>
    <w:lvl w:ilvl="0" w:tplc="FFFFFFFF">
      <w:start w:val="1"/>
      <w:numFmt w:val="bullet"/>
      <w:lvlText w:val="•"/>
      <w:lvlJc w:val="left"/>
    </w:lvl>
    <w:lvl w:ilvl="1" w:tplc="FFFFFFFF">
      <w:numFmt w:val="decimal"/>
      <w:lvlText w:val=""/>
      <w:lvlJc w:val="left"/>
    </w:lvl>
    <w:lvl w:ilvl="2" w:tplc="0C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406211"/>
    <w:multiLevelType w:val="multilevel"/>
    <w:tmpl w:val="D81082C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20B61A8F"/>
    <w:multiLevelType w:val="multilevel"/>
    <w:tmpl w:val="21EE0FD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20F93726"/>
    <w:multiLevelType w:val="multilevel"/>
    <w:tmpl w:val="E848C8CE"/>
    <w:lvl w:ilvl="0">
      <w:start w:val="1"/>
      <w:numFmt w:val="decimal"/>
      <w:pStyle w:val="Tablecaption"/>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3949C4"/>
    <w:multiLevelType w:val="hybridMultilevel"/>
    <w:tmpl w:val="39BC2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7E2BCD"/>
    <w:multiLevelType w:val="multilevel"/>
    <w:tmpl w:val="173CADFE"/>
    <w:lvl w:ilvl="0">
      <w:start w:val="1"/>
      <w:numFmt w:val="bullet"/>
      <w:pStyle w:val="List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2F8532EA"/>
    <w:multiLevelType w:val="hybridMultilevel"/>
    <w:tmpl w:val="CE029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E347DA"/>
    <w:multiLevelType w:val="multilevel"/>
    <w:tmpl w:val="5B5C4D9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30206D58"/>
    <w:multiLevelType w:val="multilevel"/>
    <w:tmpl w:val="1092F30E"/>
    <w:lvl w:ilvl="0">
      <w:start w:val="1"/>
      <w:numFmt w:val="bullet"/>
      <w:lvlText w:val="o"/>
      <w:lvlJc w:val="left"/>
      <w:pPr>
        <w:ind w:left="72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203492C"/>
    <w:multiLevelType w:val="hybridMultilevel"/>
    <w:tmpl w:val="C5B2B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2A3886"/>
    <w:multiLevelType w:val="multilevel"/>
    <w:tmpl w:val="5B508114"/>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0" w15:restartNumberingAfterBreak="0">
    <w:nsid w:val="36FA5B52"/>
    <w:multiLevelType w:val="hybridMultilevel"/>
    <w:tmpl w:val="4F1C61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761FD0"/>
    <w:multiLevelType w:val="hybridMultilevel"/>
    <w:tmpl w:val="D25227D8"/>
    <w:lvl w:ilvl="0" w:tplc="FAF41BB8">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226302"/>
    <w:multiLevelType w:val="multilevel"/>
    <w:tmpl w:val="35EA985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3E685BA8"/>
    <w:multiLevelType w:val="hybridMultilevel"/>
    <w:tmpl w:val="11323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874D4D"/>
    <w:multiLevelType w:val="multilevel"/>
    <w:tmpl w:val="6BCE3AA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4BCC0E1B"/>
    <w:multiLevelType w:val="multilevel"/>
    <w:tmpl w:val="AC4C7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EDD2C70"/>
    <w:multiLevelType w:val="hybridMultilevel"/>
    <w:tmpl w:val="FE3CE6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F3114D"/>
    <w:multiLevelType w:val="multilevel"/>
    <w:tmpl w:val="E0F49CE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523B7370"/>
    <w:multiLevelType w:val="hybridMultilevel"/>
    <w:tmpl w:val="D4CC31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617D1B"/>
    <w:multiLevelType w:val="hybridMultilevel"/>
    <w:tmpl w:val="A076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AA481D"/>
    <w:multiLevelType w:val="multilevel"/>
    <w:tmpl w:val="6712B5D6"/>
    <w:lvl w:ilvl="0">
      <w:start w:val="1"/>
      <w:numFmt w:val="decimal"/>
      <w:pStyle w:val="NumberedList"/>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1" w15:restartNumberingAfterBreak="0">
    <w:nsid w:val="6814243D"/>
    <w:multiLevelType w:val="hybridMultilevel"/>
    <w:tmpl w:val="01AA3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5726D5"/>
    <w:multiLevelType w:val="multilevel"/>
    <w:tmpl w:val="E0162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B5F74F6"/>
    <w:multiLevelType w:val="hybridMultilevel"/>
    <w:tmpl w:val="C002C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F8565A"/>
    <w:multiLevelType w:val="hybridMultilevel"/>
    <w:tmpl w:val="08E0C6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896DBD"/>
    <w:multiLevelType w:val="hybridMultilevel"/>
    <w:tmpl w:val="79121C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BE6FDB"/>
    <w:multiLevelType w:val="hybridMultilevel"/>
    <w:tmpl w:val="CCF425A4"/>
    <w:lvl w:ilvl="0" w:tplc="C58AD1A6">
      <w:start w:val="1"/>
      <w:numFmt w:val="bullet"/>
      <w:lvlText w:val=""/>
      <w:lvlJc w:val="left"/>
      <w:pPr>
        <w:ind w:left="720" w:hanging="360"/>
      </w:pPr>
      <w:rPr>
        <w:rFonts w:ascii="Symbol" w:hAnsi="Symbol" w:hint="default"/>
        <w:strike w:val="0"/>
        <w:dstrike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F597AE5"/>
    <w:multiLevelType w:val="multilevel"/>
    <w:tmpl w:val="06CACED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70344747"/>
    <w:multiLevelType w:val="hybridMultilevel"/>
    <w:tmpl w:val="58065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6838C7"/>
    <w:multiLevelType w:val="hybridMultilevel"/>
    <w:tmpl w:val="C4DA5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4095250">
    <w:abstractNumId w:val="14"/>
  </w:num>
  <w:num w:numId="2" w16cid:durableId="328294724">
    <w:abstractNumId w:val="12"/>
  </w:num>
  <w:num w:numId="3" w16cid:durableId="1860391471">
    <w:abstractNumId w:val="0"/>
  </w:num>
  <w:num w:numId="4" w16cid:durableId="698240043">
    <w:abstractNumId w:val="30"/>
  </w:num>
  <w:num w:numId="5" w16cid:durableId="700546998">
    <w:abstractNumId w:val="19"/>
  </w:num>
  <w:num w:numId="6" w16cid:durableId="1910994504">
    <w:abstractNumId w:val="1"/>
  </w:num>
  <w:num w:numId="7" w16cid:durableId="1874031164">
    <w:abstractNumId w:val="16"/>
  </w:num>
  <w:num w:numId="8" w16cid:durableId="424692202">
    <w:abstractNumId w:val="37"/>
  </w:num>
  <w:num w:numId="9" w16cid:durableId="713894895">
    <w:abstractNumId w:val="21"/>
  </w:num>
  <w:num w:numId="10" w16cid:durableId="960113824">
    <w:abstractNumId w:val="15"/>
  </w:num>
  <w:num w:numId="11" w16cid:durableId="1042362894">
    <w:abstractNumId w:val="2"/>
  </w:num>
  <w:num w:numId="12" w16cid:durableId="484399203">
    <w:abstractNumId w:val="6"/>
  </w:num>
  <w:num w:numId="13" w16cid:durableId="752699672">
    <w:abstractNumId w:val="33"/>
  </w:num>
  <w:num w:numId="14" w16cid:durableId="1868250248">
    <w:abstractNumId w:val="38"/>
  </w:num>
  <w:num w:numId="15" w16cid:durableId="1649087957">
    <w:abstractNumId w:val="28"/>
  </w:num>
  <w:num w:numId="16" w16cid:durableId="601033161">
    <w:abstractNumId w:val="4"/>
  </w:num>
  <w:num w:numId="17" w16cid:durableId="790244352">
    <w:abstractNumId w:val="20"/>
  </w:num>
  <w:num w:numId="18" w16cid:durableId="75250765">
    <w:abstractNumId w:val="13"/>
  </w:num>
  <w:num w:numId="19" w16cid:durableId="552040855">
    <w:abstractNumId w:val="31"/>
  </w:num>
  <w:num w:numId="20" w16cid:durableId="112603521">
    <w:abstractNumId w:val="35"/>
  </w:num>
  <w:num w:numId="21" w16cid:durableId="1296985387">
    <w:abstractNumId w:val="34"/>
  </w:num>
  <w:num w:numId="22" w16cid:durableId="1690985180">
    <w:abstractNumId w:val="26"/>
  </w:num>
  <w:num w:numId="23" w16cid:durableId="1734548867">
    <w:abstractNumId w:val="36"/>
  </w:num>
  <w:num w:numId="24" w16cid:durableId="171801959">
    <w:abstractNumId w:val="7"/>
  </w:num>
  <w:num w:numId="25" w16cid:durableId="996422784">
    <w:abstractNumId w:val="29"/>
  </w:num>
  <w:num w:numId="26" w16cid:durableId="1671634371">
    <w:abstractNumId w:val="8"/>
  </w:num>
  <w:num w:numId="27" w16cid:durableId="32072556">
    <w:abstractNumId w:val="9"/>
  </w:num>
  <w:num w:numId="28" w16cid:durableId="1131367243">
    <w:abstractNumId w:val="23"/>
  </w:num>
  <w:num w:numId="29" w16cid:durableId="1979917772">
    <w:abstractNumId w:val="17"/>
  </w:num>
  <w:num w:numId="30" w16cid:durableId="397172444">
    <w:abstractNumId w:val="10"/>
  </w:num>
  <w:num w:numId="31" w16cid:durableId="1542479383">
    <w:abstractNumId w:val="22"/>
  </w:num>
  <w:num w:numId="32" w16cid:durableId="857426716">
    <w:abstractNumId w:val="21"/>
  </w:num>
  <w:num w:numId="33" w16cid:durableId="631130499">
    <w:abstractNumId w:val="21"/>
  </w:num>
  <w:num w:numId="34" w16cid:durableId="746344650">
    <w:abstractNumId w:val="3"/>
  </w:num>
  <w:num w:numId="35" w16cid:durableId="854729747">
    <w:abstractNumId w:val="21"/>
  </w:num>
  <w:num w:numId="36" w16cid:durableId="2070837162">
    <w:abstractNumId w:val="21"/>
  </w:num>
  <w:num w:numId="37" w16cid:durableId="1840851947">
    <w:abstractNumId w:val="5"/>
  </w:num>
  <w:num w:numId="38" w16cid:durableId="1309893668">
    <w:abstractNumId w:val="21"/>
  </w:num>
  <w:num w:numId="39" w16cid:durableId="416755356">
    <w:abstractNumId w:val="21"/>
  </w:num>
  <w:num w:numId="40" w16cid:durableId="530919476">
    <w:abstractNumId w:val="39"/>
  </w:num>
  <w:num w:numId="41" w16cid:durableId="1231380193">
    <w:abstractNumId w:val="18"/>
  </w:num>
  <w:num w:numId="42" w16cid:durableId="1092551979">
    <w:abstractNumId w:val="21"/>
  </w:num>
  <w:num w:numId="43" w16cid:durableId="557058879">
    <w:abstractNumId w:val="11"/>
  </w:num>
  <w:num w:numId="44" w16cid:durableId="416899532">
    <w:abstractNumId w:val="32"/>
  </w:num>
  <w:num w:numId="45" w16cid:durableId="801269443">
    <w:abstractNumId w:val="25"/>
  </w:num>
  <w:num w:numId="46" w16cid:durableId="1015229022">
    <w:abstractNumId w:val="27"/>
  </w:num>
  <w:num w:numId="47" w16cid:durableId="1803496538">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B9"/>
    <w:rsid w:val="0000248B"/>
    <w:rsid w:val="00002B17"/>
    <w:rsid w:val="0000626F"/>
    <w:rsid w:val="00012201"/>
    <w:rsid w:val="00012B86"/>
    <w:rsid w:val="00016FCA"/>
    <w:rsid w:val="000204D8"/>
    <w:rsid w:val="0002514C"/>
    <w:rsid w:val="000301FC"/>
    <w:rsid w:val="00030C04"/>
    <w:rsid w:val="00031B43"/>
    <w:rsid w:val="000350FA"/>
    <w:rsid w:val="0003733B"/>
    <w:rsid w:val="00045E0C"/>
    <w:rsid w:val="00046401"/>
    <w:rsid w:val="00050267"/>
    <w:rsid w:val="000517CE"/>
    <w:rsid w:val="00053871"/>
    <w:rsid w:val="00053D00"/>
    <w:rsid w:val="00056644"/>
    <w:rsid w:val="00057A1F"/>
    <w:rsid w:val="00060141"/>
    <w:rsid w:val="00060394"/>
    <w:rsid w:val="00062C80"/>
    <w:rsid w:val="000635B4"/>
    <w:rsid w:val="000660C8"/>
    <w:rsid w:val="000702B8"/>
    <w:rsid w:val="00074A68"/>
    <w:rsid w:val="00075688"/>
    <w:rsid w:val="00076004"/>
    <w:rsid w:val="00076763"/>
    <w:rsid w:val="00076D5B"/>
    <w:rsid w:val="000776E0"/>
    <w:rsid w:val="00084018"/>
    <w:rsid w:val="00084D45"/>
    <w:rsid w:val="00086715"/>
    <w:rsid w:val="00086FAE"/>
    <w:rsid w:val="00087D2B"/>
    <w:rsid w:val="00091FB1"/>
    <w:rsid w:val="00094189"/>
    <w:rsid w:val="00094DC1"/>
    <w:rsid w:val="00097C5E"/>
    <w:rsid w:val="000A2E04"/>
    <w:rsid w:val="000A6C51"/>
    <w:rsid w:val="000A7803"/>
    <w:rsid w:val="000B11C2"/>
    <w:rsid w:val="000B1355"/>
    <w:rsid w:val="000B3513"/>
    <w:rsid w:val="000B78DC"/>
    <w:rsid w:val="000C41A8"/>
    <w:rsid w:val="000C528B"/>
    <w:rsid w:val="000D1538"/>
    <w:rsid w:val="000D210B"/>
    <w:rsid w:val="000D61D3"/>
    <w:rsid w:val="000D62E6"/>
    <w:rsid w:val="000E0B07"/>
    <w:rsid w:val="000E46C9"/>
    <w:rsid w:val="000E5928"/>
    <w:rsid w:val="000E6C1B"/>
    <w:rsid w:val="000E6E3E"/>
    <w:rsid w:val="000F38F7"/>
    <w:rsid w:val="000F4583"/>
    <w:rsid w:val="000F7CCB"/>
    <w:rsid w:val="0010091A"/>
    <w:rsid w:val="0010279C"/>
    <w:rsid w:val="00103C37"/>
    <w:rsid w:val="00103E64"/>
    <w:rsid w:val="001057A4"/>
    <w:rsid w:val="00106071"/>
    <w:rsid w:val="0011279C"/>
    <w:rsid w:val="00112A2F"/>
    <w:rsid w:val="0011393B"/>
    <w:rsid w:val="0011469D"/>
    <w:rsid w:val="00115A7F"/>
    <w:rsid w:val="00122AE1"/>
    <w:rsid w:val="00123044"/>
    <w:rsid w:val="001232F4"/>
    <w:rsid w:val="001264A5"/>
    <w:rsid w:val="001307F3"/>
    <w:rsid w:val="00131BFD"/>
    <w:rsid w:val="001332B9"/>
    <w:rsid w:val="001365DA"/>
    <w:rsid w:val="00137A74"/>
    <w:rsid w:val="001412E5"/>
    <w:rsid w:val="001438AC"/>
    <w:rsid w:val="00143991"/>
    <w:rsid w:val="0014438E"/>
    <w:rsid w:val="00150531"/>
    <w:rsid w:val="0015151B"/>
    <w:rsid w:val="00151AA5"/>
    <w:rsid w:val="00152339"/>
    <w:rsid w:val="00152ACF"/>
    <w:rsid w:val="00153776"/>
    <w:rsid w:val="00156DCB"/>
    <w:rsid w:val="001576F6"/>
    <w:rsid w:val="001620BC"/>
    <w:rsid w:val="00162F77"/>
    <w:rsid w:val="00164001"/>
    <w:rsid w:val="00164848"/>
    <w:rsid w:val="00164BB5"/>
    <w:rsid w:val="001661E0"/>
    <w:rsid w:val="00172C78"/>
    <w:rsid w:val="00174F3B"/>
    <w:rsid w:val="001758C6"/>
    <w:rsid w:val="00180346"/>
    <w:rsid w:val="001814C7"/>
    <w:rsid w:val="001848C1"/>
    <w:rsid w:val="00187F31"/>
    <w:rsid w:val="001949FA"/>
    <w:rsid w:val="0019547E"/>
    <w:rsid w:val="0019787B"/>
    <w:rsid w:val="001A1374"/>
    <w:rsid w:val="001A3260"/>
    <w:rsid w:val="001B18A0"/>
    <w:rsid w:val="001B33EA"/>
    <w:rsid w:val="001B3583"/>
    <w:rsid w:val="001B6E1D"/>
    <w:rsid w:val="001B7B5F"/>
    <w:rsid w:val="001B7C0D"/>
    <w:rsid w:val="001C1ECD"/>
    <w:rsid w:val="001C30FF"/>
    <w:rsid w:val="001C3B0A"/>
    <w:rsid w:val="001C3CE3"/>
    <w:rsid w:val="001C3D90"/>
    <w:rsid w:val="001D1A31"/>
    <w:rsid w:val="001E1570"/>
    <w:rsid w:val="001E25EB"/>
    <w:rsid w:val="001E2C4E"/>
    <w:rsid w:val="001E2CD9"/>
    <w:rsid w:val="001E3BB7"/>
    <w:rsid w:val="001E5BD2"/>
    <w:rsid w:val="001E63E9"/>
    <w:rsid w:val="001F4F56"/>
    <w:rsid w:val="001F5411"/>
    <w:rsid w:val="001F5595"/>
    <w:rsid w:val="001F55D8"/>
    <w:rsid w:val="001F58C1"/>
    <w:rsid w:val="001F5ACF"/>
    <w:rsid w:val="001F5D67"/>
    <w:rsid w:val="0020464A"/>
    <w:rsid w:val="0020467E"/>
    <w:rsid w:val="00204719"/>
    <w:rsid w:val="00212669"/>
    <w:rsid w:val="00217B02"/>
    <w:rsid w:val="0022039C"/>
    <w:rsid w:val="00220DC0"/>
    <w:rsid w:val="00221627"/>
    <w:rsid w:val="00223738"/>
    <w:rsid w:val="0022529B"/>
    <w:rsid w:val="002304B7"/>
    <w:rsid w:val="00233905"/>
    <w:rsid w:val="00236698"/>
    <w:rsid w:val="00236E81"/>
    <w:rsid w:val="00242EC6"/>
    <w:rsid w:val="0024402C"/>
    <w:rsid w:val="00245707"/>
    <w:rsid w:val="00245E9E"/>
    <w:rsid w:val="00246F57"/>
    <w:rsid w:val="00247975"/>
    <w:rsid w:val="00250304"/>
    <w:rsid w:val="002504AB"/>
    <w:rsid w:val="00253D86"/>
    <w:rsid w:val="002550E1"/>
    <w:rsid w:val="002602DB"/>
    <w:rsid w:val="002631DD"/>
    <w:rsid w:val="00263573"/>
    <w:rsid w:val="00265C76"/>
    <w:rsid w:val="00266BE7"/>
    <w:rsid w:val="00267AAC"/>
    <w:rsid w:val="0027076E"/>
    <w:rsid w:val="00270836"/>
    <w:rsid w:val="00272D15"/>
    <w:rsid w:val="00277E8A"/>
    <w:rsid w:val="00280874"/>
    <w:rsid w:val="00281CEA"/>
    <w:rsid w:val="00284C21"/>
    <w:rsid w:val="00284D17"/>
    <w:rsid w:val="00285842"/>
    <w:rsid w:val="00286EF2"/>
    <w:rsid w:val="00287B13"/>
    <w:rsid w:val="00292AC5"/>
    <w:rsid w:val="002A012A"/>
    <w:rsid w:val="002A0BAD"/>
    <w:rsid w:val="002A14F2"/>
    <w:rsid w:val="002A494B"/>
    <w:rsid w:val="002A4B99"/>
    <w:rsid w:val="002A7B3E"/>
    <w:rsid w:val="002B15B1"/>
    <w:rsid w:val="002B2AD1"/>
    <w:rsid w:val="002B31EF"/>
    <w:rsid w:val="002B582A"/>
    <w:rsid w:val="002B7BF5"/>
    <w:rsid w:val="002B7F14"/>
    <w:rsid w:val="002C0E7A"/>
    <w:rsid w:val="002C2172"/>
    <w:rsid w:val="002C521A"/>
    <w:rsid w:val="002C6BFC"/>
    <w:rsid w:val="002C7552"/>
    <w:rsid w:val="002D089D"/>
    <w:rsid w:val="002D41F0"/>
    <w:rsid w:val="002D5614"/>
    <w:rsid w:val="002D6FA2"/>
    <w:rsid w:val="002E0A39"/>
    <w:rsid w:val="002E18C7"/>
    <w:rsid w:val="002E2076"/>
    <w:rsid w:val="002E341D"/>
    <w:rsid w:val="002E5693"/>
    <w:rsid w:val="002F15BD"/>
    <w:rsid w:val="002F2D49"/>
    <w:rsid w:val="002F40EB"/>
    <w:rsid w:val="002F4D30"/>
    <w:rsid w:val="002F787F"/>
    <w:rsid w:val="00301280"/>
    <w:rsid w:val="00302739"/>
    <w:rsid w:val="00306C16"/>
    <w:rsid w:val="00306C46"/>
    <w:rsid w:val="00307BA8"/>
    <w:rsid w:val="00315474"/>
    <w:rsid w:val="00315585"/>
    <w:rsid w:val="00315C45"/>
    <w:rsid w:val="00316F8D"/>
    <w:rsid w:val="003203A8"/>
    <w:rsid w:val="00320AD7"/>
    <w:rsid w:val="003217C2"/>
    <w:rsid w:val="003233EC"/>
    <w:rsid w:val="00323D95"/>
    <w:rsid w:val="00323DB3"/>
    <w:rsid w:val="00325527"/>
    <w:rsid w:val="00327138"/>
    <w:rsid w:val="00327BCF"/>
    <w:rsid w:val="00327CAA"/>
    <w:rsid w:val="003323FB"/>
    <w:rsid w:val="00333697"/>
    <w:rsid w:val="00333DD8"/>
    <w:rsid w:val="0033460E"/>
    <w:rsid w:val="00334AA8"/>
    <w:rsid w:val="003369DE"/>
    <w:rsid w:val="00336D95"/>
    <w:rsid w:val="003411FB"/>
    <w:rsid w:val="00341459"/>
    <w:rsid w:val="00342F1E"/>
    <w:rsid w:val="00343A54"/>
    <w:rsid w:val="0034702F"/>
    <w:rsid w:val="00352213"/>
    <w:rsid w:val="003530BD"/>
    <w:rsid w:val="00354A52"/>
    <w:rsid w:val="00361EB4"/>
    <w:rsid w:val="003620EA"/>
    <w:rsid w:val="003647B2"/>
    <w:rsid w:val="0037524F"/>
    <w:rsid w:val="00381ADE"/>
    <w:rsid w:val="00382DD4"/>
    <w:rsid w:val="003839FD"/>
    <w:rsid w:val="003915C0"/>
    <w:rsid w:val="00392525"/>
    <w:rsid w:val="0039297B"/>
    <w:rsid w:val="00393602"/>
    <w:rsid w:val="0039601C"/>
    <w:rsid w:val="00397B79"/>
    <w:rsid w:val="003A0AEA"/>
    <w:rsid w:val="003A0B4A"/>
    <w:rsid w:val="003A2FE9"/>
    <w:rsid w:val="003A4DF9"/>
    <w:rsid w:val="003A4EDF"/>
    <w:rsid w:val="003B0B8E"/>
    <w:rsid w:val="003B1021"/>
    <w:rsid w:val="003B3D12"/>
    <w:rsid w:val="003B42B7"/>
    <w:rsid w:val="003B6D28"/>
    <w:rsid w:val="003C1E42"/>
    <w:rsid w:val="003C3F55"/>
    <w:rsid w:val="003C4113"/>
    <w:rsid w:val="003C513D"/>
    <w:rsid w:val="003C6D2C"/>
    <w:rsid w:val="003D01ED"/>
    <w:rsid w:val="003D02B4"/>
    <w:rsid w:val="003D030A"/>
    <w:rsid w:val="003D40C6"/>
    <w:rsid w:val="003D729C"/>
    <w:rsid w:val="003E2610"/>
    <w:rsid w:val="003E3796"/>
    <w:rsid w:val="003E567D"/>
    <w:rsid w:val="003E66B9"/>
    <w:rsid w:val="003F2267"/>
    <w:rsid w:val="003F2D67"/>
    <w:rsid w:val="00405388"/>
    <w:rsid w:val="00405CEF"/>
    <w:rsid w:val="0041145A"/>
    <w:rsid w:val="00411DC6"/>
    <w:rsid w:val="00412C6F"/>
    <w:rsid w:val="00414B4A"/>
    <w:rsid w:val="00415A77"/>
    <w:rsid w:val="00416609"/>
    <w:rsid w:val="004200A9"/>
    <w:rsid w:val="00420A07"/>
    <w:rsid w:val="00421BAC"/>
    <w:rsid w:val="00422F4A"/>
    <w:rsid w:val="00423C5D"/>
    <w:rsid w:val="00425EB3"/>
    <w:rsid w:val="0043064E"/>
    <w:rsid w:val="00430F46"/>
    <w:rsid w:val="0043271D"/>
    <w:rsid w:val="0043419B"/>
    <w:rsid w:val="00435BA3"/>
    <w:rsid w:val="00436C51"/>
    <w:rsid w:val="00437C17"/>
    <w:rsid w:val="0044065C"/>
    <w:rsid w:val="00441FCD"/>
    <w:rsid w:val="004431A7"/>
    <w:rsid w:val="00444FE7"/>
    <w:rsid w:val="004460DC"/>
    <w:rsid w:val="004524CF"/>
    <w:rsid w:val="00454D83"/>
    <w:rsid w:val="00455389"/>
    <w:rsid w:val="004575B3"/>
    <w:rsid w:val="004579D9"/>
    <w:rsid w:val="0046016C"/>
    <w:rsid w:val="00460428"/>
    <w:rsid w:val="004604F3"/>
    <w:rsid w:val="004614EF"/>
    <w:rsid w:val="00461EC9"/>
    <w:rsid w:val="004643A1"/>
    <w:rsid w:val="004701C8"/>
    <w:rsid w:val="00474DBE"/>
    <w:rsid w:val="004767BA"/>
    <w:rsid w:val="00476935"/>
    <w:rsid w:val="00480085"/>
    <w:rsid w:val="00481619"/>
    <w:rsid w:val="004817BF"/>
    <w:rsid w:val="0048235E"/>
    <w:rsid w:val="004827D1"/>
    <w:rsid w:val="00486114"/>
    <w:rsid w:val="0049146B"/>
    <w:rsid w:val="004A068E"/>
    <w:rsid w:val="004A1D54"/>
    <w:rsid w:val="004B36BE"/>
    <w:rsid w:val="004B4627"/>
    <w:rsid w:val="004B546F"/>
    <w:rsid w:val="004B5F09"/>
    <w:rsid w:val="004B621B"/>
    <w:rsid w:val="004C0E0B"/>
    <w:rsid w:val="004C25F0"/>
    <w:rsid w:val="004C2AF0"/>
    <w:rsid w:val="004C3E32"/>
    <w:rsid w:val="004C6003"/>
    <w:rsid w:val="004C640B"/>
    <w:rsid w:val="004C7B28"/>
    <w:rsid w:val="004D3B6B"/>
    <w:rsid w:val="004D5267"/>
    <w:rsid w:val="004E0AC0"/>
    <w:rsid w:val="004E619A"/>
    <w:rsid w:val="004E6BBE"/>
    <w:rsid w:val="004F2D52"/>
    <w:rsid w:val="004F33D8"/>
    <w:rsid w:val="00500727"/>
    <w:rsid w:val="00501985"/>
    <w:rsid w:val="00502F4F"/>
    <w:rsid w:val="0050395A"/>
    <w:rsid w:val="00503B52"/>
    <w:rsid w:val="00506438"/>
    <w:rsid w:val="0050674E"/>
    <w:rsid w:val="00510243"/>
    <w:rsid w:val="00511D34"/>
    <w:rsid w:val="00513FED"/>
    <w:rsid w:val="0051542E"/>
    <w:rsid w:val="00515DCA"/>
    <w:rsid w:val="00523CE6"/>
    <w:rsid w:val="00523CF2"/>
    <w:rsid w:val="00524176"/>
    <w:rsid w:val="00525A20"/>
    <w:rsid w:val="00525E8F"/>
    <w:rsid w:val="00527EB1"/>
    <w:rsid w:val="00531416"/>
    <w:rsid w:val="00531891"/>
    <w:rsid w:val="00531A40"/>
    <w:rsid w:val="00531CE2"/>
    <w:rsid w:val="005408A9"/>
    <w:rsid w:val="0054134A"/>
    <w:rsid w:val="00542C63"/>
    <w:rsid w:val="00543953"/>
    <w:rsid w:val="0054643A"/>
    <w:rsid w:val="00547B37"/>
    <w:rsid w:val="00547BDA"/>
    <w:rsid w:val="00550B89"/>
    <w:rsid w:val="005569E9"/>
    <w:rsid w:val="00560506"/>
    <w:rsid w:val="00560A50"/>
    <w:rsid w:val="0056293A"/>
    <w:rsid w:val="005646F3"/>
    <w:rsid w:val="00565D18"/>
    <w:rsid w:val="00566FDE"/>
    <w:rsid w:val="005674AA"/>
    <w:rsid w:val="00567939"/>
    <w:rsid w:val="00567E6A"/>
    <w:rsid w:val="00570457"/>
    <w:rsid w:val="00570F9E"/>
    <w:rsid w:val="00576032"/>
    <w:rsid w:val="00577A30"/>
    <w:rsid w:val="005836AF"/>
    <w:rsid w:val="00583AA3"/>
    <w:rsid w:val="0058616E"/>
    <w:rsid w:val="00593B51"/>
    <w:rsid w:val="00595282"/>
    <w:rsid w:val="0059549A"/>
    <w:rsid w:val="005973B5"/>
    <w:rsid w:val="00597427"/>
    <w:rsid w:val="005978A6"/>
    <w:rsid w:val="005A16BE"/>
    <w:rsid w:val="005A4F38"/>
    <w:rsid w:val="005B0354"/>
    <w:rsid w:val="005B3E38"/>
    <w:rsid w:val="005B43C7"/>
    <w:rsid w:val="005B45CA"/>
    <w:rsid w:val="005B77BE"/>
    <w:rsid w:val="005B77FF"/>
    <w:rsid w:val="005C6904"/>
    <w:rsid w:val="005C78E8"/>
    <w:rsid w:val="005D12D1"/>
    <w:rsid w:val="005D1D20"/>
    <w:rsid w:val="005D4D69"/>
    <w:rsid w:val="005D6330"/>
    <w:rsid w:val="005D636C"/>
    <w:rsid w:val="005D6EC8"/>
    <w:rsid w:val="005D7066"/>
    <w:rsid w:val="005D779A"/>
    <w:rsid w:val="005E1613"/>
    <w:rsid w:val="005E22F8"/>
    <w:rsid w:val="005E244A"/>
    <w:rsid w:val="005E29EC"/>
    <w:rsid w:val="005E3A3C"/>
    <w:rsid w:val="005F17B2"/>
    <w:rsid w:val="005F19AD"/>
    <w:rsid w:val="005F319D"/>
    <w:rsid w:val="005F3835"/>
    <w:rsid w:val="005F3FE9"/>
    <w:rsid w:val="00605EC1"/>
    <w:rsid w:val="0060647B"/>
    <w:rsid w:val="00606DEE"/>
    <w:rsid w:val="0061000C"/>
    <w:rsid w:val="00612B86"/>
    <w:rsid w:val="00612CA4"/>
    <w:rsid w:val="00613576"/>
    <w:rsid w:val="006144AE"/>
    <w:rsid w:val="006148FD"/>
    <w:rsid w:val="006152FB"/>
    <w:rsid w:val="00616D3A"/>
    <w:rsid w:val="00621399"/>
    <w:rsid w:val="00631C48"/>
    <w:rsid w:val="006323E8"/>
    <w:rsid w:val="006359E5"/>
    <w:rsid w:val="006417F0"/>
    <w:rsid w:val="00641987"/>
    <w:rsid w:val="00642997"/>
    <w:rsid w:val="00643C77"/>
    <w:rsid w:val="006459E6"/>
    <w:rsid w:val="0064706C"/>
    <w:rsid w:val="00650521"/>
    <w:rsid w:val="00651B99"/>
    <w:rsid w:val="006542A8"/>
    <w:rsid w:val="00654A06"/>
    <w:rsid w:val="00657BC8"/>
    <w:rsid w:val="00657CCC"/>
    <w:rsid w:val="00657D62"/>
    <w:rsid w:val="00661D0C"/>
    <w:rsid w:val="00663130"/>
    <w:rsid w:val="006647AA"/>
    <w:rsid w:val="006679F6"/>
    <w:rsid w:val="006706CC"/>
    <w:rsid w:val="00670745"/>
    <w:rsid w:val="00672E41"/>
    <w:rsid w:val="00673912"/>
    <w:rsid w:val="00675CED"/>
    <w:rsid w:val="00677EF5"/>
    <w:rsid w:val="0068194E"/>
    <w:rsid w:val="00681B09"/>
    <w:rsid w:val="00682465"/>
    <w:rsid w:val="00682939"/>
    <w:rsid w:val="006845BD"/>
    <w:rsid w:val="00684DAB"/>
    <w:rsid w:val="0068529B"/>
    <w:rsid w:val="0068534B"/>
    <w:rsid w:val="00690C4E"/>
    <w:rsid w:val="00690EF8"/>
    <w:rsid w:val="00691E0D"/>
    <w:rsid w:val="00694452"/>
    <w:rsid w:val="0069738F"/>
    <w:rsid w:val="00697556"/>
    <w:rsid w:val="006A0593"/>
    <w:rsid w:val="006A2CDF"/>
    <w:rsid w:val="006A6FAD"/>
    <w:rsid w:val="006A7121"/>
    <w:rsid w:val="006B06D3"/>
    <w:rsid w:val="006B0C09"/>
    <w:rsid w:val="006B1246"/>
    <w:rsid w:val="006B1EAD"/>
    <w:rsid w:val="006B6C00"/>
    <w:rsid w:val="006C0ACC"/>
    <w:rsid w:val="006C1211"/>
    <w:rsid w:val="006C3B50"/>
    <w:rsid w:val="006C3C5D"/>
    <w:rsid w:val="006C47BE"/>
    <w:rsid w:val="006C6845"/>
    <w:rsid w:val="006C75B4"/>
    <w:rsid w:val="006D0EBE"/>
    <w:rsid w:val="006D4281"/>
    <w:rsid w:val="006D75CB"/>
    <w:rsid w:val="006E377A"/>
    <w:rsid w:val="006E474E"/>
    <w:rsid w:val="006E48E8"/>
    <w:rsid w:val="006E7C8B"/>
    <w:rsid w:val="006E7FEA"/>
    <w:rsid w:val="006F13F4"/>
    <w:rsid w:val="006F42C8"/>
    <w:rsid w:val="006F77F9"/>
    <w:rsid w:val="00700CA9"/>
    <w:rsid w:val="0070168F"/>
    <w:rsid w:val="00704E67"/>
    <w:rsid w:val="007104B1"/>
    <w:rsid w:val="0071056D"/>
    <w:rsid w:val="00710B87"/>
    <w:rsid w:val="00712003"/>
    <w:rsid w:val="00712BB3"/>
    <w:rsid w:val="00715512"/>
    <w:rsid w:val="00715E03"/>
    <w:rsid w:val="007204D5"/>
    <w:rsid w:val="00720BBB"/>
    <w:rsid w:val="00721B53"/>
    <w:rsid w:val="007272DC"/>
    <w:rsid w:val="00727ED6"/>
    <w:rsid w:val="00731BC0"/>
    <w:rsid w:val="00740428"/>
    <w:rsid w:val="00740B39"/>
    <w:rsid w:val="00744974"/>
    <w:rsid w:val="00745B3B"/>
    <w:rsid w:val="00747C60"/>
    <w:rsid w:val="007520DA"/>
    <w:rsid w:val="0075487D"/>
    <w:rsid w:val="007549DD"/>
    <w:rsid w:val="00754BF4"/>
    <w:rsid w:val="00757FD7"/>
    <w:rsid w:val="00764117"/>
    <w:rsid w:val="00765AF0"/>
    <w:rsid w:val="00766C63"/>
    <w:rsid w:val="00766E1D"/>
    <w:rsid w:val="00767DD6"/>
    <w:rsid w:val="00771291"/>
    <w:rsid w:val="0077150A"/>
    <w:rsid w:val="00774667"/>
    <w:rsid w:val="00774E48"/>
    <w:rsid w:val="00775C0D"/>
    <w:rsid w:val="00775E40"/>
    <w:rsid w:val="007818A8"/>
    <w:rsid w:val="00781D7A"/>
    <w:rsid w:val="0078203E"/>
    <w:rsid w:val="00783D75"/>
    <w:rsid w:val="00784290"/>
    <w:rsid w:val="00784AF9"/>
    <w:rsid w:val="00790DE7"/>
    <w:rsid w:val="00793518"/>
    <w:rsid w:val="00796116"/>
    <w:rsid w:val="007979C2"/>
    <w:rsid w:val="00797F66"/>
    <w:rsid w:val="007A0476"/>
    <w:rsid w:val="007A1CFA"/>
    <w:rsid w:val="007A1D7B"/>
    <w:rsid w:val="007A1E6E"/>
    <w:rsid w:val="007A367D"/>
    <w:rsid w:val="007A5B02"/>
    <w:rsid w:val="007B1552"/>
    <w:rsid w:val="007B4C7D"/>
    <w:rsid w:val="007B5C4E"/>
    <w:rsid w:val="007B5DB5"/>
    <w:rsid w:val="007C2990"/>
    <w:rsid w:val="007C4B1F"/>
    <w:rsid w:val="007C6D02"/>
    <w:rsid w:val="007C7C55"/>
    <w:rsid w:val="007D374A"/>
    <w:rsid w:val="007D37F0"/>
    <w:rsid w:val="007D3FAD"/>
    <w:rsid w:val="007D4547"/>
    <w:rsid w:val="007D490C"/>
    <w:rsid w:val="007D51DE"/>
    <w:rsid w:val="007E1388"/>
    <w:rsid w:val="007E6BB9"/>
    <w:rsid w:val="007E6CEC"/>
    <w:rsid w:val="007E71C8"/>
    <w:rsid w:val="007F0FD3"/>
    <w:rsid w:val="007F23E3"/>
    <w:rsid w:val="007F3450"/>
    <w:rsid w:val="008014B1"/>
    <w:rsid w:val="00804280"/>
    <w:rsid w:val="00804F95"/>
    <w:rsid w:val="008069AC"/>
    <w:rsid w:val="00807BEE"/>
    <w:rsid w:val="008128D2"/>
    <w:rsid w:val="00813057"/>
    <w:rsid w:val="0081387E"/>
    <w:rsid w:val="00813DF3"/>
    <w:rsid w:val="00815280"/>
    <w:rsid w:val="00821263"/>
    <w:rsid w:val="00822274"/>
    <w:rsid w:val="00822C56"/>
    <w:rsid w:val="00825528"/>
    <w:rsid w:val="008255AF"/>
    <w:rsid w:val="00826ED7"/>
    <w:rsid w:val="008315F2"/>
    <w:rsid w:val="00840899"/>
    <w:rsid w:val="00842120"/>
    <w:rsid w:val="008507A4"/>
    <w:rsid w:val="00853B6B"/>
    <w:rsid w:val="00853BEE"/>
    <w:rsid w:val="0085691D"/>
    <w:rsid w:val="00857E8C"/>
    <w:rsid w:val="00860B2A"/>
    <w:rsid w:val="00862DD7"/>
    <w:rsid w:val="008649B0"/>
    <w:rsid w:val="00865876"/>
    <w:rsid w:val="00873EBD"/>
    <w:rsid w:val="00882215"/>
    <w:rsid w:val="00882B77"/>
    <w:rsid w:val="00887917"/>
    <w:rsid w:val="00890703"/>
    <w:rsid w:val="00891118"/>
    <w:rsid w:val="008918A2"/>
    <w:rsid w:val="008928BC"/>
    <w:rsid w:val="008979FF"/>
    <w:rsid w:val="008A5AFC"/>
    <w:rsid w:val="008A6F92"/>
    <w:rsid w:val="008B01DA"/>
    <w:rsid w:val="008B44E9"/>
    <w:rsid w:val="008B4CC3"/>
    <w:rsid w:val="008B6E02"/>
    <w:rsid w:val="008C1495"/>
    <w:rsid w:val="008C1A35"/>
    <w:rsid w:val="008C1CB6"/>
    <w:rsid w:val="008C2833"/>
    <w:rsid w:val="008C4E6D"/>
    <w:rsid w:val="008C60FA"/>
    <w:rsid w:val="008C62EC"/>
    <w:rsid w:val="008C6972"/>
    <w:rsid w:val="008C7013"/>
    <w:rsid w:val="008C7C21"/>
    <w:rsid w:val="008D1A1B"/>
    <w:rsid w:val="008D1DB1"/>
    <w:rsid w:val="008D217D"/>
    <w:rsid w:val="008D2683"/>
    <w:rsid w:val="008D29F5"/>
    <w:rsid w:val="008D420A"/>
    <w:rsid w:val="008D591E"/>
    <w:rsid w:val="008D5F33"/>
    <w:rsid w:val="008D6C99"/>
    <w:rsid w:val="008D7D85"/>
    <w:rsid w:val="008E269B"/>
    <w:rsid w:val="008E38EE"/>
    <w:rsid w:val="008E5F77"/>
    <w:rsid w:val="008E760E"/>
    <w:rsid w:val="008F4589"/>
    <w:rsid w:val="008F4742"/>
    <w:rsid w:val="008F7A74"/>
    <w:rsid w:val="009009E7"/>
    <w:rsid w:val="0090402A"/>
    <w:rsid w:val="009053D3"/>
    <w:rsid w:val="009055F3"/>
    <w:rsid w:val="00906005"/>
    <w:rsid w:val="0090620C"/>
    <w:rsid w:val="0090662D"/>
    <w:rsid w:val="00906EDA"/>
    <w:rsid w:val="00906FA5"/>
    <w:rsid w:val="00907279"/>
    <w:rsid w:val="00911601"/>
    <w:rsid w:val="009128DF"/>
    <w:rsid w:val="0091546E"/>
    <w:rsid w:val="00916B07"/>
    <w:rsid w:val="00917309"/>
    <w:rsid w:val="00925163"/>
    <w:rsid w:val="00925ACA"/>
    <w:rsid w:val="009266EF"/>
    <w:rsid w:val="009277F6"/>
    <w:rsid w:val="009311EF"/>
    <w:rsid w:val="009316CB"/>
    <w:rsid w:val="00934D4A"/>
    <w:rsid w:val="00935737"/>
    <w:rsid w:val="00940F03"/>
    <w:rsid w:val="00945AC7"/>
    <w:rsid w:val="009469F6"/>
    <w:rsid w:val="009474A3"/>
    <w:rsid w:val="00947B9A"/>
    <w:rsid w:val="00950163"/>
    <w:rsid w:val="009564FB"/>
    <w:rsid w:val="009605A4"/>
    <w:rsid w:val="009665C4"/>
    <w:rsid w:val="00973E46"/>
    <w:rsid w:val="009765EC"/>
    <w:rsid w:val="009769B8"/>
    <w:rsid w:val="00976A5F"/>
    <w:rsid w:val="00977B1F"/>
    <w:rsid w:val="00980EC5"/>
    <w:rsid w:val="0098373A"/>
    <w:rsid w:val="00983E4F"/>
    <w:rsid w:val="009846A6"/>
    <w:rsid w:val="009855F7"/>
    <w:rsid w:val="00985D69"/>
    <w:rsid w:val="009861B6"/>
    <w:rsid w:val="009861E9"/>
    <w:rsid w:val="00987A60"/>
    <w:rsid w:val="0099332E"/>
    <w:rsid w:val="00994D32"/>
    <w:rsid w:val="009965A1"/>
    <w:rsid w:val="00996940"/>
    <w:rsid w:val="00997FDA"/>
    <w:rsid w:val="009A0C4F"/>
    <w:rsid w:val="009A211A"/>
    <w:rsid w:val="009A61EF"/>
    <w:rsid w:val="009A7005"/>
    <w:rsid w:val="009A7330"/>
    <w:rsid w:val="009B3DFE"/>
    <w:rsid w:val="009B5520"/>
    <w:rsid w:val="009B7CEF"/>
    <w:rsid w:val="009C0BD8"/>
    <w:rsid w:val="009C4A45"/>
    <w:rsid w:val="009C5BD0"/>
    <w:rsid w:val="009C5C82"/>
    <w:rsid w:val="009C69D1"/>
    <w:rsid w:val="009D02AE"/>
    <w:rsid w:val="009D124F"/>
    <w:rsid w:val="009D1491"/>
    <w:rsid w:val="009D348D"/>
    <w:rsid w:val="009D5E57"/>
    <w:rsid w:val="009E1774"/>
    <w:rsid w:val="009E2F37"/>
    <w:rsid w:val="009E5190"/>
    <w:rsid w:val="009E5B4E"/>
    <w:rsid w:val="009E6591"/>
    <w:rsid w:val="009E7DA0"/>
    <w:rsid w:val="009F0065"/>
    <w:rsid w:val="009F2EED"/>
    <w:rsid w:val="009F4E87"/>
    <w:rsid w:val="009F5DF4"/>
    <w:rsid w:val="009F66CF"/>
    <w:rsid w:val="009F7071"/>
    <w:rsid w:val="00A0088B"/>
    <w:rsid w:val="00A009D4"/>
    <w:rsid w:val="00A00C16"/>
    <w:rsid w:val="00A02621"/>
    <w:rsid w:val="00A0376C"/>
    <w:rsid w:val="00A03A51"/>
    <w:rsid w:val="00A0488D"/>
    <w:rsid w:val="00A058C2"/>
    <w:rsid w:val="00A07029"/>
    <w:rsid w:val="00A10055"/>
    <w:rsid w:val="00A12367"/>
    <w:rsid w:val="00A13587"/>
    <w:rsid w:val="00A13A79"/>
    <w:rsid w:val="00A14286"/>
    <w:rsid w:val="00A1498A"/>
    <w:rsid w:val="00A15473"/>
    <w:rsid w:val="00A15565"/>
    <w:rsid w:val="00A212FE"/>
    <w:rsid w:val="00A2132B"/>
    <w:rsid w:val="00A244AB"/>
    <w:rsid w:val="00A272EE"/>
    <w:rsid w:val="00A3108B"/>
    <w:rsid w:val="00A320ED"/>
    <w:rsid w:val="00A34FD2"/>
    <w:rsid w:val="00A35343"/>
    <w:rsid w:val="00A35BCA"/>
    <w:rsid w:val="00A36F70"/>
    <w:rsid w:val="00A371F6"/>
    <w:rsid w:val="00A37C5A"/>
    <w:rsid w:val="00A4156B"/>
    <w:rsid w:val="00A41B0D"/>
    <w:rsid w:val="00A42A19"/>
    <w:rsid w:val="00A42B0D"/>
    <w:rsid w:val="00A4315F"/>
    <w:rsid w:val="00A43F9E"/>
    <w:rsid w:val="00A459EE"/>
    <w:rsid w:val="00A4607A"/>
    <w:rsid w:val="00A4796A"/>
    <w:rsid w:val="00A52201"/>
    <w:rsid w:val="00A52F38"/>
    <w:rsid w:val="00A53D24"/>
    <w:rsid w:val="00A53DF5"/>
    <w:rsid w:val="00A543A5"/>
    <w:rsid w:val="00A54E8E"/>
    <w:rsid w:val="00A56EFB"/>
    <w:rsid w:val="00A60EED"/>
    <w:rsid w:val="00A60EFC"/>
    <w:rsid w:val="00A64BD2"/>
    <w:rsid w:val="00A708A5"/>
    <w:rsid w:val="00A716CE"/>
    <w:rsid w:val="00A73E46"/>
    <w:rsid w:val="00A76E9D"/>
    <w:rsid w:val="00A84B2B"/>
    <w:rsid w:val="00A8783B"/>
    <w:rsid w:val="00A87D47"/>
    <w:rsid w:val="00A90422"/>
    <w:rsid w:val="00A92715"/>
    <w:rsid w:val="00A94623"/>
    <w:rsid w:val="00A95775"/>
    <w:rsid w:val="00AA155D"/>
    <w:rsid w:val="00AA18FC"/>
    <w:rsid w:val="00AA7EE2"/>
    <w:rsid w:val="00AB0A1E"/>
    <w:rsid w:val="00AB2D4D"/>
    <w:rsid w:val="00AB413C"/>
    <w:rsid w:val="00AB4A96"/>
    <w:rsid w:val="00AB4DFB"/>
    <w:rsid w:val="00AB4F23"/>
    <w:rsid w:val="00AB5035"/>
    <w:rsid w:val="00AC2B26"/>
    <w:rsid w:val="00AC46FF"/>
    <w:rsid w:val="00AC7759"/>
    <w:rsid w:val="00AC7ED8"/>
    <w:rsid w:val="00AD02BA"/>
    <w:rsid w:val="00AD10DD"/>
    <w:rsid w:val="00AD3406"/>
    <w:rsid w:val="00AD5C7C"/>
    <w:rsid w:val="00AD732C"/>
    <w:rsid w:val="00AE0470"/>
    <w:rsid w:val="00AE0753"/>
    <w:rsid w:val="00AE0971"/>
    <w:rsid w:val="00AE1E6A"/>
    <w:rsid w:val="00AE28C0"/>
    <w:rsid w:val="00AE3D4E"/>
    <w:rsid w:val="00AE566B"/>
    <w:rsid w:val="00AF43CA"/>
    <w:rsid w:val="00AF5645"/>
    <w:rsid w:val="00AF7287"/>
    <w:rsid w:val="00B00925"/>
    <w:rsid w:val="00B01DB5"/>
    <w:rsid w:val="00B04EFD"/>
    <w:rsid w:val="00B0695B"/>
    <w:rsid w:val="00B06984"/>
    <w:rsid w:val="00B07348"/>
    <w:rsid w:val="00B076CF"/>
    <w:rsid w:val="00B077E1"/>
    <w:rsid w:val="00B07D1F"/>
    <w:rsid w:val="00B1102C"/>
    <w:rsid w:val="00B1105F"/>
    <w:rsid w:val="00B164CA"/>
    <w:rsid w:val="00B171BD"/>
    <w:rsid w:val="00B207BD"/>
    <w:rsid w:val="00B24B8F"/>
    <w:rsid w:val="00B36E88"/>
    <w:rsid w:val="00B408F3"/>
    <w:rsid w:val="00B420A9"/>
    <w:rsid w:val="00B42676"/>
    <w:rsid w:val="00B46FE5"/>
    <w:rsid w:val="00B517C5"/>
    <w:rsid w:val="00B549CE"/>
    <w:rsid w:val="00B55D23"/>
    <w:rsid w:val="00B654AF"/>
    <w:rsid w:val="00B673FF"/>
    <w:rsid w:val="00B7186D"/>
    <w:rsid w:val="00B721F4"/>
    <w:rsid w:val="00B72AC5"/>
    <w:rsid w:val="00B72C66"/>
    <w:rsid w:val="00B73D03"/>
    <w:rsid w:val="00B75C0F"/>
    <w:rsid w:val="00B81F21"/>
    <w:rsid w:val="00B863DB"/>
    <w:rsid w:val="00B86405"/>
    <w:rsid w:val="00B86B0E"/>
    <w:rsid w:val="00B9465D"/>
    <w:rsid w:val="00B9524E"/>
    <w:rsid w:val="00B957E3"/>
    <w:rsid w:val="00BA0AB4"/>
    <w:rsid w:val="00BA27FD"/>
    <w:rsid w:val="00BA3B08"/>
    <w:rsid w:val="00BA518C"/>
    <w:rsid w:val="00BA638E"/>
    <w:rsid w:val="00BA7703"/>
    <w:rsid w:val="00BB26A8"/>
    <w:rsid w:val="00BB5B0E"/>
    <w:rsid w:val="00BC1C11"/>
    <w:rsid w:val="00BC3A9E"/>
    <w:rsid w:val="00BC6089"/>
    <w:rsid w:val="00BD32CE"/>
    <w:rsid w:val="00BD549F"/>
    <w:rsid w:val="00BD5E40"/>
    <w:rsid w:val="00BD7AF0"/>
    <w:rsid w:val="00BE1C08"/>
    <w:rsid w:val="00BE25AB"/>
    <w:rsid w:val="00BE43AE"/>
    <w:rsid w:val="00BE5535"/>
    <w:rsid w:val="00BF2A1E"/>
    <w:rsid w:val="00BF43F8"/>
    <w:rsid w:val="00BF560D"/>
    <w:rsid w:val="00C003A7"/>
    <w:rsid w:val="00C00B6D"/>
    <w:rsid w:val="00C03285"/>
    <w:rsid w:val="00C032BB"/>
    <w:rsid w:val="00C04202"/>
    <w:rsid w:val="00C04B83"/>
    <w:rsid w:val="00C0516E"/>
    <w:rsid w:val="00C05D05"/>
    <w:rsid w:val="00C11250"/>
    <w:rsid w:val="00C12470"/>
    <w:rsid w:val="00C12884"/>
    <w:rsid w:val="00C13540"/>
    <w:rsid w:val="00C16D7B"/>
    <w:rsid w:val="00C17E02"/>
    <w:rsid w:val="00C2277C"/>
    <w:rsid w:val="00C24056"/>
    <w:rsid w:val="00C25ADF"/>
    <w:rsid w:val="00C26F86"/>
    <w:rsid w:val="00C31127"/>
    <w:rsid w:val="00C31CAD"/>
    <w:rsid w:val="00C3326D"/>
    <w:rsid w:val="00C33C84"/>
    <w:rsid w:val="00C3403B"/>
    <w:rsid w:val="00C3729F"/>
    <w:rsid w:val="00C37354"/>
    <w:rsid w:val="00C374A5"/>
    <w:rsid w:val="00C424F7"/>
    <w:rsid w:val="00C51D57"/>
    <w:rsid w:val="00C51EFF"/>
    <w:rsid w:val="00C52712"/>
    <w:rsid w:val="00C52F77"/>
    <w:rsid w:val="00C53A3F"/>
    <w:rsid w:val="00C56DAE"/>
    <w:rsid w:val="00C5701B"/>
    <w:rsid w:val="00C5706E"/>
    <w:rsid w:val="00C577F3"/>
    <w:rsid w:val="00C57E35"/>
    <w:rsid w:val="00C61040"/>
    <w:rsid w:val="00C6152B"/>
    <w:rsid w:val="00C62030"/>
    <w:rsid w:val="00C6225A"/>
    <w:rsid w:val="00C642F9"/>
    <w:rsid w:val="00C651B4"/>
    <w:rsid w:val="00C70FB2"/>
    <w:rsid w:val="00C73250"/>
    <w:rsid w:val="00C73930"/>
    <w:rsid w:val="00C75B78"/>
    <w:rsid w:val="00C80994"/>
    <w:rsid w:val="00C82238"/>
    <w:rsid w:val="00C84007"/>
    <w:rsid w:val="00C8411C"/>
    <w:rsid w:val="00C85BD7"/>
    <w:rsid w:val="00C9095B"/>
    <w:rsid w:val="00C92821"/>
    <w:rsid w:val="00C951F3"/>
    <w:rsid w:val="00C957CF"/>
    <w:rsid w:val="00C97693"/>
    <w:rsid w:val="00CA2D0D"/>
    <w:rsid w:val="00CA3951"/>
    <w:rsid w:val="00CA5946"/>
    <w:rsid w:val="00CA7277"/>
    <w:rsid w:val="00CB20E6"/>
    <w:rsid w:val="00CB2582"/>
    <w:rsid w:val="00CB55D8"/>
    <w:rsid w:val="00CB7524"/>
    <w:rsid w:val="00CB7AFC"/>
    <w:rsid w:val="00CC1D39"/>
    <w:rsid w:val="00CC4A20"/>
    <w:rsid w:val="00CD0627"/>
    <w:rsid w:val="00CD1908"/>
    <w:rsid w:val="00CD4B10"/>
    <w:rsid w:val="00CD5090"/>
    <w:rsid w:val="00CD5AC4"/>
    <w:rsid w:val="00CD5E28"/>
    <w:rsid w:val="00CD64B5"/>
    <w:rsid w:val="00CD759C"/>
    <w:rsid w:val="00CE196C"/>
    <w:rsid w:val="00CE5077"/>
    <w:rsid w:val="00CF036F"/>
    <w:rsid w:val="00CF1036"/>
    <w:rsid w:val="00CF4B72"/>
    <w:rsid w:val="00CF74C5"/>
    <w:rsid w:val="00D011A8"/>
    <w:rsid w:val="00D03557"/>
    <w:rsid w:val="00D10788"/>
    <w:rsid w:val="00D140B2"/>
    <w:rsid w:val="00D27259"/>
    <w:rsid w:val="00D2753E"/>
    <w:rsid w:val="00D31081"/>
    <w:rsid w:val="00D3117E"/>
    <w:rsid w:val="00D31E30"/>
    <w:rsid w:val="00D35245"/>
    <w:rsid w:val="00D37638"/>
    <w:rsid w:val="00D37FBD"/>
    <w:rsid w:val="00D40963"/>
    <w:rsid w:val="00D41B8F"/>
    <w:rsid w:val="00D41CB3"/>
    <w:rsid w:val="00D42F84"/>
    <w:rsid w:val="00D435BD"/>
    <w:rsid w:val="00D4469D"/>
    <w:rsid w:val="00D46DED"/>
    <w:rsid w:val="00D516D3"/>
    <w:rsid w:val="00D549BF"/>
    <w:rsid w:val="00D551FF"/>
    <w:rsid w:val="00D56CEE"/>
    <w:rsid w:val="00D57B3C"/>
    <w:rsid w:val="00D60852"/>
    <w:rsid w:val="00D60D2A"/>
    <w:rsid w:val="00D613A2"/>
    <w:rsid w:val="00D62249"/>
    <w:rsid w:val="00D623D2"/>
    <w:rsid w:val="00D62900"/>
    <w:rsid w:val="00D632D0"/>
    <w:rsid w:val="00D638B5"/>
    <w:rsid w:val="00D65072"/>
    <w:rsid w:val="00D6546B"/>
    <w:rsid w:val="00D659BC"/>
    <w:rsid w:val="00D6799E"/>
    <w:rsid w:val="00D710AE"/>
    <w:rsid w:val="00D715DB"/>
    <w:rsid w:val="00D73258"/>
    <w:rsid w:val="00D75CC5"/>
    <w:rsid w:val="00D80619"/>
    <w:rsid w:val="00D87DF9"/>
    <w:rsid w:val="00D90E0F"/>
    <w:rsid w:val="00D91647"/>
    <w:rsid w:val="00D91863"/>
    <w:rsid w:val="00D97AB8"/>
    <w:rsid w:val="00DA05C9"/>
    <w:rsid w:val="00DA751B"/>
    <w:rsid w:val="00DB0A59"/>
    <w:rsid w:val="00DB27C4"/>
    <w:rsid w:val="00DB31F7"/>
    <w:rsid w:val="00DB71F4"/>
    <w:rsid w:val="00DB775B"/>
    <w:rsid w:val="00DC0878"/>
    <w:rsid w:val="00DC24B8"/>
    <w:rsid w:val="00DC31C3"/>
    <w:rsid w:val="00DC77E3"/>
    <w:rsid w:val="00DD03B2"/>
    <w:rsid w:val="00DD1D5F"/>
    <w:rsid w:val="00DD314A"/>
    <w:rsid w:val="00DD31A6"/>
    <w:rsid w:val="00DD3A7A"/>
    <w:rsid w:val="00DE462E"/>
    <w:rsid w:val="00DE4EE2"/>
    <w:rsid w:val="00DE74F0"/>
    <w:rsid w:val="00DF02F1"/>
    <w:rsid w:val="00DF0E7F"/>
    <w:rsid w:val="00DF4037"/>
    <w:rsid w:val="00DF4DE7"/>
    <w:rsid w:val="00DF757D"/>
    <w:rsid w:val="00DF7F2C"/>
    <w:rsid w:val="00E0099A"/>
    <w:rsid w:val="00E027FF"/>
    <w:rsid w:val="00E03631"/>
    <w:rsid w:val="00E06C13"/>
    <w:rsid w:val="00E071F9"/>
    <w:rsid w:val="00E07DC9"/>
    <w:rsid w:val="00E10148"/>
    <w:rsid w:val="00E1037C"/>
    <w:rsid w:val="00E1290F"/>
    <w:rsid w:val="00E12C67"/>
    <w:rsid w:val="00E139BE"/>
    <w:rsid w:val="00E1519F"/>
    <w:rsid w:val="00E17E0B"/>
    <w:rsid w:val="00E21D4C"/>
    <w:rsid w:val="00E220EC"/>
    <w:rsid w:val="00E2211A"/>
    <w:rsid w:val="00E247FF"/>
    <w:rsid w:val="00E27A92"/>
    <w:rsid w:val="00E304F7"/>
    <w:rsid w:val="00E32192"/>
    <w:rsid w:val="00E34B99"/>
    <w:rsid w:val="00E35189"/>
    <w:rsid w:val="00E360CE"/>
    <w:rsid w:val="00E3742F"/>
    <w:rsid w:val="00E419D9"/>
    <w:rsid w:val="00E41FE8"/>
    <w:rsid w:val="00E4329C"/>
    <w:rsid w:val="00E43BA4"/>
    <w:rsid w:val="00E43CDC"/>
    <w:rsid w:val="00E43DF8"/>
    <w:rsid w:val="00E455A0"/>
    <w:rsid w:val="00E460E9"/>
    <w:rsid w:val="00E472DB"/>
    <w:rsid w:val="00E47D26"/>
    <w:rsid w:val="00E50631"/>
    <w:rsid w:val="00E5213D"/>
    <w:rsid w:val="00E60693"/>
    <w:rsid w:val="00E67CE7"/>
    <w:rsid w:val="00E71ABE"/>
    <w:rsid w:val="00E72051"/>
    <w:rsid w:val="00E741F0"/>
    <w:rsid w:val="00E7726B"/>
    <w:rsid w:val="00E82574"/>
    <w:rsid w:val="00E8675E"/>
    <w:rsid w:val="00E86F27"/>
    <w:rsid w:val="00E87389"/>
    <w:rsid w:val="00E93E86"/>
    <w:rsid w:val="00E94949"/>
    <w:rsid w:val="00E95009"/>
    <w:rsid w:val="00E95322"/>
    <w:rsid w:val="00E96304"/>
    <w:rsid w:val="00EA1DA5"/>
    <w:rsid w:val="00EA2B69"/>
    <w:rsid w:val="00EA2BCB"/>
    <w:rsid w:val="00EA3223"/>
    <w:rsid w:val="00EB145C"/>
    <w:rsid w:val="00EB1881"/>
    <w:rsid w:val="00EB283B"/>
    <w:rsid w:val="00EB4FF4"/>
    <w:rsid w:val="00EB5D8B"/>
    <w:rsid w:val="00EB7C54"/>
    <w:rsid w:val="00EC252B"/>
    <w:rsid w:val="00EC333A"/>
    <w:rsid w:val="00EC5597"/>
    <w:rsid w:val="00EC788D"/>
    <w:rsid w:val="00ED0CFF"/>
    <w:rsid w:val="00ED48D3"/>
    <w:rsid w:val="00ED4BA7"/>
    <w:rsid w:val="00ED5EF3"/>
    <w:rsid w:val="00ED757F"/>
    <w:rsid w:val="00ED7B95"/>
    <w:rsid w:val="00EE06C6"/>
    <w:rsid w:val="00EE7FEE"/>
    <w:rsid w:val="00EF2DBE"/>
    <w:rsid w:val="00EF3528"/>
    <w:rsid w:val="00EF6BBD"/>
    <w:rsid w:val="00EF7941"/>
    <w:rsid w:val="00F006BD"/>
    <w:rsid w:val="00F0297E"/>
    <w:rsid w:val="00F04A97"/>
    <w:rsid w:val="00F05071"/>
    <w:rsid w:val="00F11220"/>
    <w:rsid w:val="00F136EB"/>
    <w:rsid w:val="00F13ADF"/>
    <w:rsid w:val="00F1447B"/>
    <w:rsid w:val="00F163D5"/>
    <w:rsid w:val="00F16481"/>
    <w:rsid w:val="00F17347"/>
    <w:rsid w:val="00F2055B"/>
    <w:rsid w:val="00F265DA"/>
    <w:rsid w:val="00F2694D"/>
    <w:rsid w:val="00F3549A"/>
    <w:rsid w:val="00F3582B"/>
    <w:rsid w:val="00F373E6"/>
    <w:rsid w:val="00F41281"/>
    <w:rsid w:val="00F41D84"/>
    <w:rsid w:val="00F421FC"/>
    <w:rsid w:val="00F42ED3"/>
    <w:rsid w:val="00F4598F"/>
    <w:rsid w:val="00F50A1E"/>
    <w:rsid w:val="00F510BD"/>
    <w:rsid w:val="00F523D9"/>
    <w:rsid w:val="00F537F2"/>
    <w:rsid w:val="00F541E7"/>
    <w:rsid w:val="00F54B60"/>
    <w:rsid w:val="00F54E51"/>
    <w:rsid w:val="00F56710"/>
    <w:rsid w:val="00F57084"/>
    <w:rsid w:val="00F600EB"/>
    <w:rsid w:val="00F61E23"/>
    <w:rsid w:val="00F62063"/>
    <w:rsid w:val="00F675B5"/>
    <w:rsid w:val="00F70C30"/>
    <w:rsid w:val="00F750E3"/>
    <w:rsid w:val="00F76391"/>
    <w:rsid w:val="00F76A0A"/>
    <w:rsid w:val="00F76F95"/>
    <w:rsid w:val="00F81586"/>
    <w:rsid w:val="00F822DA"/>
    <w:rsid w:val="00F83427"/>
    <w:rsid w:val="00F84E51"/>
    <w:rsid w:val="00F85279"/>
    <w:rsid w:val="00F878CC"/>
    <w:rsid w:val="00F916BB"/>
    <w:rsid w:val="00F94241"/>
    <w:rsid w:val="00F95282"/>
    <w:rsid w:val="00F96BCA"/>
    <w:rsid w:val="00FA038C"/>
    <w:rsid w:val="00FA1D4E"/>
    <w:rsid w:val="00FA5836"/>
    <w:rsid w:val="00FA693B"/>
    <w:rsid w:val="00FB05F9"/>
    <w:rsid w:val="00FB55A8"/>
    <w:rsid w:val="00FB70D4"/>
    <w:rsid w:val="00FB73AA"/>
    <w:rsid w:val="00FC65BC"/>
    <w:rsid w:val="00FD18AF"/>
    <w:rsid w:val="00FD2DD9"/>
    <w:rsid w:val="00FE121B"/>
    <w:rsid w:val="00FE2C09"/>
    <w:rsid w:val="00FE365A"/>
    <w:rsid w:val="00FE45F0"/>
    <w:rsid w:val="00FE7852"/>
    <w:rsid w:val="00FF1713"/>
    <w:rsid w:val="00FF57DA"/>
    <w:rsid w:val="00FF6A7E"/>
    <w:rsid w:val="00FF6C2E"/>
    <w:rsid w:val="03356F8E"/>
    <w:rsid w:val="055C3D0C"/>
    <w:rsid w:val="0F7BEFA5"/>
    <w:rsid w:val="19C94562"/>
    <w:rsid w:val="20FB2AF4"/>
    <w:rsid w:val="2DCF2A48"/>
    <w:rsid w:val="33E3DFC8"/>
    <w:rsid w:val="449051D4"/>
    <w:rsid w:val="4824B7F8"/>
    <w:rsid w:val="5E3EDF0A"/>
    <w:rsid w:val="620250E0"/>
    <w:rsid w:val="673BA786"/>
    <w:rsid w:val="67E4B522"/>
    <w:rsid w:val="6CC8EF82"/>
    <w:rsid w:val="6E968D2B"/>
    <w:rsid w:val="6EAA307E"/>
    <w:rsid w:val="74A9A89C"/>
    <w:rsid w:val="7BD3DCBF"/>
    <w:rsid w:val="7E4CFB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28ADD"/>
  <w15:chartTrackingRefBased/>
  <w15:docId w15:val="{F9701F24-306E-41F3-BB8E-9004174D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6BB"/>
    <w:pPr>
      <w:spacing w:before="120" w:after="120" w:line="276" w:lineRule="auto"/>
    </w:pPr>
    <w:rPr>
      <w:rFonts w:eastAsia="Muli" w:cstheme="minorHAnsi"/>
      <w:sz w:val="20"/>
      <w:szCs w:val="20"/>
      <w:lang w:eastAsia="en-AU"/>
    </w:rPr>
  </w:style>
  <w:style w:type="paragraph" w:styleId="Heading1">
    <w:name w:val="heading 1"/>
    <w:basedOn w:val="Normal"/>
    <w:next w:val="Normal"/>
    <w:link w:val="Heading1Char"/>
    <w:uiPriority w:val="9"/>
    <w:qFormat/>
    <w:rsid w:val="00715E03"/>
    <w:pPr>
      <w:keepNext/>
      <w:keepLines/>
      <w:spacing w:before="360"/>
      <w:outlineLvl w:val="0"/>
    </w:pPr>
    <w:rPr>
      <w:rFonts w:asciiTheme="majorHAnsi" w:eastAsiaTheme="majorEastAsia" w:hAnsiTheme="majorHAnsi" w:cstheme="majorBidi"/>
      <w:b/>
      <w:color w:val="2A3648" w:themeColor="text2"/>
      <w:sz w:val="36"/>
      <w:szCs w:val="32"/>
      <w:u w:val="single" w:color="FAA61B" w:themeColor="accent1"/>
    </w:rPr>
  </w:style>
  <w:style w:type="paragraph" w:styleId="Heading2">
    <w:name w:val="heading 2"/>
    <w:basedOn w:val="Normal"/>
    <w:next w:val="Normal"/>
    <w:link w:val="Heading2Char"/>
    <w:uiPriority w:val="9"/>
    <w:unhideWhenUsed/>
    <w:qFormat/>
    <w:rsid w:val="00740428"/>
    <w:pPr>
      <w:keepNext/>
      <w:keepLines/>
      <w:spacing w:before="200" w:after="0"/>
      <w:outlineLvl w:val="1"/>
    </w:pPr>
    <w:rPr>
      <w:rFonts w:asciiTheme="majorHAnsi" w:hAnsiTheme="majorHAnsi" w:cstheme="majorBidi"/>
      <w:b/>
      <w:color w:val="2A3648" w:themeColor="text2"/>
      <w:sz w:val="28"/>
      <w:szCs w:val="26"/>
    </w:rPr>
  </w:style>
  <w:style w:type="paragraph" w:styleId="Heading3">
    <w:name w:val="heading 3"/>
    <w:basedOn w:val="Normal"/>
    <w:next w:val="Normal"/>
    <w:link w:val="Heading3Char"/>
    <w:uiPriority w:val="9"/>
    <w:unhideWhenUsed/>
    <w:qFormat/>
    <w:rsid w:val="00F916BB"/>
    <w:pPr>
      <w:keepNext/>
      <w:keepLines/>
      <w:spacing w:before="200" w:after="0"/>
      <w:outlineLvl w:val="2"/>
    </w:pPr>
    <w:rPr>
      <w:rFonts w:asciiTheme="majorHAnsi" w:hAnsiTheme="majorHAnsi" w:cstheme="majorBidi"/>
      <w:color w:val="2A3648" w:themeColor="text2"/>
      <w:sz w:val="24"/>
      <w:szCs w:val="24"/>
    </w:rPr>
  </w:style>
  <w:style w:type="paragraph" w:styleId="Heading4">
    <w:name w:val="heading 4"/>
    <w:basedOn w:val="Normal"/>
    <w:next w:val="Normal"/>
    <w:link w:val="Heading4Char"/>
    <w:uiPriority w:val="9"/>
    <w:unhideWhenUsed/>
    <w:qFormat/>
    <w:rsid w:val="007E6BB9"/>
    <w:pPr>
      <w:keepNext/>
      <w:keepLines/>
      <w:spacing w:before="40"/>
      <w:outlineLvl w:val="3"/>
    </w:pPr>
    <w:rPr>
      <w:rFonts w:eastAsiaTheme="majorEastAsia"/>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E03"/>
    <w:rPr>
      <w:rFonts w:asciiTheme="majorHAnsi" w:eastAsiaTheme="majorEastAsia" w:hAnsiTheme="majorHAnsi" w:cstheme="majorBidi"/>
      <w:b/>
      <w:color w:val="2A3648" w:themeColor="text2"/>
      <w:sz w:val="36"/>
      <w:szCs w:val="32"/>
      <w:u w:val="single" w:color="FAA61B" w:themeColor="accent1"/>
      <w:lang w:val="en-US" w:eastAsia="en-AU"/>
    </w:rPr>
  </w:style>
  <w:style w:type="character" w:customStyle="1" w:styleId="Heading2Char">
    <w:name w:val="Heading 2 Char"/>
    <w:basedOn w:val="DefaultParagraphFont"/>
    <w:link w:val="Heading2"/>
    <w:uiPriority w:val="9"/>
    <w:rsid w:val="00740428"/>
    <w:rPr>
      <w:rFonts w:asciiTheme="majorHAnsi" w:eastAsia="Muli" w:hAnsiTheme="majorHAnsi" w:cstheme="majorBidi"/>
      <w:b/>
      <w:color w:val="2A3648" w:themeColor="text2"/>
      <w:sz w:val="28"/>
      <w:szCs w:val="26"/>
      <w:lang w:eastAsia="en-AU"/>
    </w:rPr>
  </w:style>
  <w:style w:type="paragraph" w:styleId="Title">
    <w:name w:val="Title"/>
    <w:basedOn w:val="Normal"/>
    <w:next w:val="Normal"/>
    <w:link w:val="TitleChar"/>
    <w:uiPriority w:val="10"/>
    <w:qFormat/>
    <w:rsid w:val="00715E03"/>
    <w:pPr>
      <w:pBdr>
        <w:bottom w:val="single" w:sz="24" w:space="1" w:color="auto"/>
      </w:pBdr>
      <w:spacing w:after="0"/>
      <w:contextualSpacing/>
    </w:pPr>
    <w:rPr>
      <w:rFonts w:eastAsiaTheme="majorEastAsia" w:cstheme="majorBidi"/>
      <w:b/>
      <w:color w:val="2A3648" w:themeColor="text2"/>
      <w:spacing w:val="-10"/>
      <w:kern w:val="28"/>
      <w:sz w:val="48"/>
      <w:szCs w:val="56"/>
    </w:rPr>
  </w:style>
  <w:style w:type="character" w:customStyle="1" w:styleId="TitleChar">
    <w:name w:val="Title Char"/>
    <w:basedOn w:val="DefaultParagraphFont"/>
    <w:link w:val="Title"/>
    <w:uiPriority w:val="10"/>
    <w:rsid w:val="00715E03"/>
    <w:rPr>
      <w:rFonts w:eastAsiaTheme="majorEastAsia" w:cstheme="majorBidi"/>
      <w:b/>
      <w:color w:val="2A3648" w:themeColor="text2"/>
      <w:spacing w:val="-10"/>
      <w:kern w:val="28"/>
      <w:sz w:val="48"/>
      <w:szCs w:val="56"/>
      <w:lang w:val="en-US" w:eastAsia="en-AU"/>
    </w:rPr>
  </w:style>
  <w:style w:type="paragraph" w:styleId="Header">
    <w:name w:val="header"/>
    <w:basedOn w:val="Normal"/>
    <w:link w:val="HeaderChar"/>
    <w:uiPriority w:val="99"/>
    <w:unhideWhenUsed/>
    <w:rsid w:val="006647AA"/>
    <w:pPr>
      <w:tabs>
        <w:tab w:val="center" w:pos="4513"/>
        <w:tab w:val="right" w:pos="9026"/>
      </w:tabs>
      <w:spacing w:after="0"/>
    </w:pPr>
  </w:style>
  <w:style w:type="character" w:customStyle="1" w:styleId="HeaderChar">
    <w:name w:val="Header Char"/>
    <w:basedOn w:val="DefaultParagraphFont"/>
    <w:link w:val="Header"/>
    <w:uiPriority w:val="99"/>
    <w:rsid w:val="006647AA"/>
  </w:style>
  <w:style w:type="paragraph" w:styleId="Footer">
    <w:name w:val="footer"/>
    <w:basedOn w:val="Normal"/>
    <w:link w:val="FooterChar"/>
    <w:uiPriority w:val="99"/>
    <w:unhideWhenUsed/>
    <w:rsid w:val="006647AA"/>
    <w:pPr>
      <w:tabs>
        <w:tab w:val="center" w:pos="4513"/>
        <w:tab w:val="right" w:pos="9026"/>
      </w:tabs>
      <w:spacing w:after="0"/>
    </w:pPr>
  </w:style>
  <w:style w:type="character" w:customStyle="1" w:styleId="FooterChar">
    <w:name w:val="Footer Char"/>
    <w:basedOn w:val="DefaultParagraphFont"/>
    <w:link w:val="Footer"/>
    <w:uiPriority w:val="99"/>
    <w:rsid w:val="006647AA"/>
  </w:style>
  <w:style w:type="paragraph" w:styleId="NoSpacing">
    <w:name w:val="No Spacing"/>
    <w:link w:val="NoSpacingChar"/>
    <w:uiPriority w:val="1"/>
    <w:qFormat/>
    <w:rsid w:val="006647A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647AA"/>
    <w:rPr>
      <w:rFonts w:eastAsiaTheme="minorEastAsia"/>
      <w:lang w:val="en-US"/>
    </w:rPr>
  </w:style>
  <w:style w:type="character" w:styleId="Hyperlink">
    <w:name w:val="Hyperlink"/>
    <w:basedOn w:val="DefaultParagraphFont"/>
    <w:uiPriority w:val="99"/>
    <w:unhideWhenUsed/>
    <w:rsid w:val="006647AA"/>
    <w:rPr>
      <w:color w:val="6BC9C8" w:themeColor="hyperlink"/>
      <w:u w:val="single"/>
    </w:rPr>
  </w:style>
  <w:style w:type="table" w:styleId="TableGrid">
    <w:name w:val="Table Grid"/>
    <w:basedOn w:val="TableNormal"/>
    <w:uiPriority w:val="39"/>
    <w:rsid w:val="00523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523CF2"/>
    <w:pPr>
      <w:spacing w:after="0" w:line="240" w:lineRule="auto"/>
    </w:pPr>
    <w:tblPr>
      <w:tblStyleRowBandSize w:val="1"/>
      <w:tblStyleColBandSize w:val="1"/>
      <w:tblBorders>
        <w:top w:val="single" w:sz="4" w:space="0" w:color="FCC976" w:themeColor="accent1" w:themeTint="99"/>
        <w:left w:val="single" w:sz="4" w:space="0" w:color="FCC976" w:themeColor="accent1" w:themeTint="99"/>
        <w:bottom w:val="single" w:sz="4" w:space="0" w:color="FCC976" w:themeColor="accent1" w:themeTint="99"/>
        <w:right w:val="single" w:sz="4" w:space="0" w:color="FCC976" w:themeColor="accent1" w:themeTint="99"/>
        <w:insideH w:val="single" w:sz="4" w:space="0" w:color="FCC976" w:themeColor="accent1" w:themeTint="99"/>
        <w:insideV w:val="single" w:sz="4" w:space="0" w:color="FCC9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1" w:themeFill="accent1" w:themeFillTint="33"/>
      </w:tcPr>
    </w:tblStylePr>
    <w:tblStylePr w:type="band1Horz">
      <w:tblPr/>
      <w:tcPr>
        <w:shd w:val="clear" w:color="auto" w:fill="FEEDD1" w:themeFill="accent1" w:themeFillTint="33"/>
      </w:tcPr>
    </w:tblStylePr>
    <w:tblStylePr w:type="neCell">
      <w:tblPr/>
      <w:tcPr>
        <w:tcBorders>
          <w:bottom w:val="single" w:sz="4" w:space="0" w:color="FCC976" w:themeColor="accent1" w:themeTint="99"/>
        </w:tcBorders>
      </w:tcPr>
    </w:tblStylePr>
    <w:tblStylePr w:type="nwCell">
      <w:tblPr/>
      <w:tcPr>
        <w:tcBorders>
          <w:bottom w:val="single" w:sz="4" w:space="0" w:color="FCC976" w:themeColor="accent1" w:themeTint="99"/>
        </w:tcBorders>
      </w:tcPr>
    </w:tblStylePr>
    <w:tblStylePr w:type="seCell">
      <w:tblPr/>
      <w:tcPr>
        <w:tcBorders>
          <w:top w:val="single" w:sz="4" w:space="0" w:color="FCC976" w:themeColor="accent1" w:themeTint="99"/>
        </w:tcBorders>
      </w:tcPr>
    </w:tblStylePr>
    <w:tblStylePr w:type="swCell">
      <w:tblPr/>
      <w:tcPr>
        <w:tcBorders>
          <w:top w:val="single" w:sz="4" w:space="0" w:color="FCC976" w:themeColor="accent1" w:themeTint="99"/>
        </w:tcBorders>
      </w:tcPr>
    </w:tblStylePr>
  </w:style>
  <w:style w:type="table" w:styleId="GridTable5Dark-Accent1">
    <w:name w:val="Grid Table 5 Dark Accent 1"/>
    <w:aliases w:val="QCOSS table"/>
    <w:basedOn w:val="TableNormal"/>
    <w:uiPriority w:val="50"/>
    <w:rsid w:val="005D1D20"/>
    <w:pPr>
      <w:spacing w:after="0" w:line="240" w:lineRule="auto"/>
    </w:pPr>
    <w:rPr>
      <w:color w:val="2A3648" w:themeColor="text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D1" w:themeFill="accent1" w:themeFillTint="33"/>
    </w:tcPr>
    <w:tblStylePr w:type="firstRow">
      <w:rPr>
        <w:b/>
        <w:bCs/>
        <w:color w:val="2A3648" w:themeColor="text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61B" w:themeFill="accent1"/>
      </w:tcPr>
    </w:tblStylePr>
    <w:tblStylePr w:type="lastRow">
      <w:rPr>
        <w:b/>
        <w:bCs/>
        <w:color w:val="2A3648" w:themeColor="text2"/>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61B" w:themeFill="accent1"/>
      </w:tcPr>
    </w:tblStylePr>
    <w:tblStylePr w:type="firstCol">
      <w:rPr>
        <w:b/>
        <w:bCs/>
        <w:color w:val="2A3648" w:themeColor="text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61B" w:themeFill="accent1"/>
      </w:tcPr>
    </w:tblStylePr>
    <w:tblStylePr w:type="lastCol">
      <w:rPr>
        <w:b/>
        <w:bCs/>
        <w:color w:val="2A3648" w:themeColor="text2"/>
      </w:rPr>
      <w:tblPr/>
      <w:tcPr>
        <w:shd w:val="clear" w:color="auto" w:fill="FDDBA3" w:themeFill="accent1" w:themeFillTint="66"/>
      </w:tcPr>
    </w:tblStylePr>
    <w:tblStylePr w:type="band1Vert">
      <w:tblPr/>
      <w:tcPr>
        <w:shd w:val="clear" w:color="auto" w:fill="FDDBA3" w:themeFill="accent1" w:themeFillTint="66"/>
      </w:tcPr>
    </w:tblStylePr>
    <w:tblStylePr w:type="band1Horz">
      <w:tblPr/>
      <w:tcPr>
        <w:shd w:val="clear" w:color="auto" w:fill="FDDBA3" w:themeFill="accent1" w:themeFillTint="66"/>
      </w:tcPr>
    </w:tblStylePr>
  </w:style>
  <w:style w:type="paragraph" w:styleId="TOCHeading">
    <w:name w:val="TOC Heading"/>
    <w:basedOn w:val="Heading1"/>
    <w:next w:val="Normal"/>
    <w:uiPriority w:val="39"/>
    <w:unhideWhenUsed/>
    <w:rsid w:val="002E2076"/>
    <w:pPr>
      <w:outlineLvl w:val="9"/>
    </w:pPr>
    <w:rPr>
      <w:b w:val="0"/>
      <w:color w:val="CA7F04" w:themeColor="accent1" w:themeShade="BF"/>
      <w:sz w:val="32"/>
    </w:rPr>
  </w:style>
  <w:style w:type="paragraph" w:styleId="TOC2">
    <w:name w:val="toc 2"/>
    <w:basedOn w:val="Normal"/>
    <w:next w:val="Normal"/>
    <w:autoRedefine/>
    <w:uiPriority w:val="39"/>
    <w:unhideWhenUsed/>
    <w:rsid w:val="002E2076"/>
    <w:pPr>
      <w:spacing w:after="100"/>
      <w:ind w:left="220"/>
    </w:pPr>
  </w:style>
  <w:style w:type="paragraph" w:styleId="TOC1">
    <w:name w:val="toc 1"/>
    <w:basedOn w:val="Normal"/>
    <w:next w:val="Normal"/>
    <w:autoRedefine/>
    <w:uiPriority w:val="39"/>
    <w:unhideWhenUsed/>
    <w:rsid w:val="002E2076"/>
    <w:pPr>
      <w:spacing w:after="100"/>
    </w:pPr>
  </w:style>
  <w:style w:type="character" w:customStyle="1" w:styleId="Heading3Char">
    <w:name w:val="Heading 3 Char"/>
    <w:basedOn w:val="DefaultParagraphFont"/>
    <w:link w:val="Heading3"/>
    <w:uiPriority w:val="9"/>
    <w:rsid w:val="00F916BB"/>
    <w:rPr>
      <w:rFonts w:asciiTheme="majorHAnsi" w:eastAsia="Muli" w:hAnsiTheme="majorHAnsi" w:cstheme="majorBidi"/>
      <w:color w:val="2A3648" w:themeColor="text2"/>
      <w:sz w:val="24"/>
      <w:szCs w:val="24"/>
      <w:lang w:eastAsia="en-AU"/>
    </w:rPr>
  </w:style>
  <w:style w:type="paragraph" w:styleId="Caption">
    <w:name w:val="caption"/>
    <w:basedOn w:val="Normal"/>
    <w:next w:val="Normal"/>
    <w:uiPriority w:val="35"/>
    <w:unhideWhenUsed/>
    <w:rsid w:val="001412E5"/>
    <w:pPr>
      <w:spacing w:after="200"/>
    </w:pPr>
    <w:rPr>
      <w:i/>
      <w:iCs/>
      <w:color w:val="2A3648" w:themeColor="text2"/>
      <w:sz w:val="18"/>
      <w:szCs w:val="18"/>
    </w:rPr>
  </w:style>
  <w:style w:type="character" w:styleId="UnresolvedMention">
    <w:name w:val="Unresolved Mention"/>
    <w:basedOn w:val="DefaultParagraphFont"/>
    <w:uiPriority w:val="99"/>
    <w:semiHidden/>
    <w:unhideWhenUsed/>
    <w:rsid w:val="00C0516E"/>
    <w:rPr>
      <w:color w:val="605E5C"/>
      <w:shd w:val="clear" w:color="auto" w:fill="E1DFDD"/>
    </w:rPr>
  </w:style>
  <w:style w:type="character" w:customStyle="1" w:styleId="Heading4Char">
    <w:name w:val="Heading 4 Char"/>
    <w:basedOn w:val="DefaultParagraphFont"/>
    <w:link w:val="Heading4"/>
    <w:uiPriority w:val="9"/>
    <w:rsid w:val="007E6BB9"/>
    <w:rPr>
      <w:rFonts w:ascii="Arial" w:eastAsiaTheme="majorEastAsia" w:hAnsi="Arial" w:cs="Arial"/>
      <w:b/>
      <w:iCs/>
      <w:sz w:val="20"/>
      <w:szCs w:val="20"/>
      <w:lang w:eastAsia="en-AU"/>
    </w:rPr>
  </w:style>
  <w:style w:type="paragraph" w:styleId="ListBullet">
    <w:name w:val="List Bullet"/>
    <w:basedOn w:val="Normal"/>
    <w:uiPriority w:val="99"/>
    <w:semiHidden/>
    <w:unhideWhenUsed/>
    <w:rsid w:val="007E6BB9"/>
    <w:pPr>
      <w:numPr>
        <w:numId w:val="1"/>
      </w:numPr>
      <w:contextualSpacing/>
    </w:pPr>
  </w:style>
  <w:style w:type="paragraph" w:customStyle="1" w:styleId="CoverDocumentTitle">
    <w:name w:val="Cover Document Title"/>
    <w:basedOn w:val="Title"/>
    <w:next w:val="Heading1"/>
    <w:qFormat/>
    <w:rsid w:val="007E6BB9"/>
    <w:pPr>
      <w:spacing w:before="240"/>
    </w:pPr>
    <w:rPr>
      <w:rFonts w:ascii="Arial" w:hAnsi="Arial" w:cs="Arial"/>
      <w:b w:val="0"/>
      <w:sz w:val="90"/>
      <w:szCs w:val="90"/>
    </w:rPr>
  </w:style>
  <w:style w:type="table" w:styleId="ListTable2">
    <w:name w:val="List Table 2"/>
    <w:basedOn w:val="TableNormal"/>
    <w:uiPriority w:val="47"/>
    <w:rsid w:val="003203A8"/>
    <w:pPr>
      <w:spacing w:after="0" w:line="240" w:lineRule="auto"/>
    </w:pPr>
    <w:tblPr>
      <w:tblStyleRowBandSize w:val="1"/>
      <w:tblStyleColBandSize w:val="1"/>
      <w:tblBorders>
        <w:top w:val="single" w:sz="4" w:space="0" w:color="6881A7" w:themeColor="text1" w:themeTint="99"/>
        <w:bottom w:val="single" w:sz="4" w:space="0" w:color="6881A7" w:themeColor="text1" w:themeTint="99"/>
        <w:insideH w:val="single" w:sz="4" w:space="0" w:color="6881A7"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D5E1" w:themeFill="text1" w:themeFillTint="33"/>
      </w:tcPr>
    </w:tblStylePr>
    <w:tblStylePr w:type="band1Horz">
      <w:tblPr/>
      <w:tcPr>
        <w:shd w:val="clear" w:color="auto" w:fill="CCD5E1" w:themeFill="text1" w:themeFillTint="33"/>
      </w:tcPr>
    </w:tblStylePr>
  </w:style>
  <w:style w:type="table" w:styleId="PlainTable2">
    <w:name w:val="Plain Table 2"/>
    <w:basedOn w:val="TableNormal"/>
    <w:uiPriority w:val="42"/>
    <w:rsid w:val="003203A8"/>
    <w:pPr>
      <w:spacing w:after="0" w:line="240" w:lineRule="auto"/>
    </w:pPr>
    <w:tblPr>
      <w:tblStyleRowBandSize w:val="1"/>
      <w:tblStyleColBandSize w:val="1"/>
      <w:tblBorders>
        <w:top w:val="single" w:sz="4" w:space="0" w:color="8196B5" w:themeColor="text1" w:themeTint="80"/>
        <w:bottom w:val="single" w:sz="4" w:space="0" w:color="8196B5" w:themeColor="text1" w:themeTint="80"/>
      </w:tblBorders>
    </w:tblPr>
    <w:tblStylePr w:type="firstRow">
      <w:rPr>
        <w:b/>
        <w:bCs/>
      </w:rPr>
      <w:tblPr/>
      <w:tcPr>
        <w:tcBorders>
          <w:bottom w:val="single" w:sz="4" w:space="0" w:color="8196B5" w:themeColor="text1" w:themeTint="80"/>
        </w:tcBorders>
      </w:tcPr>
    </w:tblStylePr>
    <w:tblStylePr w:type="lastRow">
      <w:rPr>
        <w:b/>
        <w:bCs/>
      </w:rPr>
      <w:tblPr/>
      <w:tcPr>
        <w:tcBorders>
          <w:top w:val="single" w:sz="4" w:space="0" w:color="8196B5" w:themeColor="text1" w:themeTint="80"/>
        </w:tcBorders>
      </w:tcPr>
    </w:tblStylePr>
    <w:tblStylePr w:type="firstCol">
      <w:rPr>
        <w:b/>
        <w:bCs/>
      </w:rPr>
    </w:tblStylePr>
    <w:tblStylePr w:type="lastCol">
      <w:rPr>
        <w:b/>
        <w:bCs/>
      </w:rPr>
    </w:tblStylePr>
    <w:tblStylePr w:type="band1Vert">
      <w:tblPr/>
      <w:tcPr>
        <w:tcBorders>
          <w:left w:val="single" w:sz="4" w:space="0" w:color="8196B5" w:themeColor="text1" w:themeTint="80"/>
          <w:right w:val="single" w:sz="4" w:space="0" w:color="8196B5" w:themeColor="text1" w:themeTint="80"/>
        </w:tcBorders>
      </w:tcPr>
    </w:tblStylePr>
    <w:tblStylePr w:type="band2Vert">
      <w:tblPr/>
      <w:tcPr>
        <w:tcBorders>
          <w:left w:val="single" w:sz="4" w:space="0" w:color="8196B5" w:themeColor="text1" w:themeTint="80"/>
          <w:right w:val="single" w:sz="4" w:space="0" w:color="8196B5" w:themeColor="text1" w:themeTint="80"/>
        </w:tcBorders>
      </w:tcPr>
    </w:tblStylePr>
    <w:tblStylePr w:type="band1Horz">
      <w:tblPr/>
      <w:tcPr>
        <w:tcBorders>
          <w:top w:val="single" w:sz="4" w:space="0" w:color="8196B5" w:themeColor="text1" w:themeTint="80"/>
          <w:bottom w:val="single" w:sz="4" w:space="0" w:color="8196B5" w:themeColor="text1" w:themeTint="80"/>
        </w:tcBorders>
      </w:tcPr>
    </w:tblStylePr>
  </w:style>
  <w:style w:type="paragraph" w:styleId="ListParagraph">
    <w:name w:val="List Paragraph"/>
    <w:aliases w:val="Bulleted List"/>
    <w:basedOn w:val="Normal"/>
    <w:uiPriority w:val="34"/>
    <w:qFormat/>
    <w:rsid w:val="004B621B"/>
    <w:pPr>
      <w:numPr>
        <w:numId w:val="9"/>
      </w:numPr>
      <w:contextualSpacing/>
    </w:pPr>
  </w:style>
  <w:style w:type="paragraph" w:customStyle="1" w:styleId="Tablecaption">
    <w:name w:val="Table caption"/>
    <w:basedOn w:val="ListParagraph"/>
    <w:next w:val="Normal"/>
    <w:rsid w:val="007B1552"/>
    <w:pPr>
      <w:numPr>
        <w:numId w:val="2"/>
      </w:numPr>
      <w:spacing w:after="0"/>
      <w:ind w:left="357" w:hanging="357"/>
    </w:pPr>
    <w:rPr>
      <w:b/>
      <w:color w:val="4D4D4D"/>
    </w:rPr>
  </w:style>
  <w:style w:type="paragraph" w:customStyle="1" w:styleId="Figurecaption">
    <w:name w:val="Figure caption"/>
    <w:basedOn w:val="ListParagraph"/>
    <w:next w:val="Normal"/>
    <w:rsid w:val="007B1552"/>
    <w:pPr>
      <w:numPr>
        <w:numId w:val="3"/>
      </w:numPr>
      <w:ind w:left="357" w:hanging="357"/>
    </w:pPr>
    <w:rPr>
      <w:b/>
      <w:color w:val="4D4D4D"/>
    </w:rPr>
  </w:style>
  <w:style w:type="paragraph" w:customStyle="1" w:styleId="NumberedList">
    <w:name w:val="Numbered List"/>
    <w:basedOn w:val="ListParagraph"/>
    <w:rsid w:val="007B1552"/>
    <w:pPr>
      <w:numPr>
        <w:numId w:val="4"/>
      </w:numPr>
    </w:pPr>
  </w:style>
  <w:style w:type="character" w:styleId="CommentReference">
    <w:name w:val="annotation reference"/>
    <w:basedOn w:val="DefaultParagraphFont"/>
    <w:uiPriority w:val="99"/>
    <w:semiHidden/>
    <w:unhideWhenUsed/>
    <w:rsid w:val="00BA0AB4"/>
    <w:rPr>
      <w:sz w:val="16"/>
      <w:szCs w:val="16"/>
    </w:rPr>
  </w:style>
  <w:style w:type="paragraph" w:styleId="CommentText">
    <w:name w:val="annotation text"/>
    <w:basedOn w:val="Normal"/>
    <w:link w:val="CommentTextChar"/>
    <w:uiPriority w:val="99"/>
    <w:unhideWhenUsed/>
    <w:rsid w:val="00BA0AB4"/>
  </w:style>
  <w:style w:type="character" w:customStyle="1" w:styleId="CommentTextChar">
    <w:name w:val="Comment Text Char"/>
    <w:basedOn w:val="DefaultParagraphFont"/>
    <w:link w:val="CommentText"/>
    <w:uiPriority w:val="99"/>
    <w:rsid w:val="00BA0AB4"/>
    <w:rPr>
      <w:rFonts w:ascii="Arial" w:eastAsia="Arial" w:hAnsi="Arial" w:cs="Arial"/>
      <w:sz w:val="20"/>
      <w:szCs w:val="20"/>
      <w:lang w:val="en-US" w:eastAsia="en-AU"/>
    </w:rPr>
  </w:style>
  <w:style w:type="paragraph" w:styleId="CommentSubject">
    <w:name w:val="annotation subject"/>
    <w:basedOn w:val="CommentText"/>
    <w:next w:val="CommentText"/>
    <w:link w:val="CommentSubjectChar"/>
    <w:uiPriority w:val="99"/>
    <w:semiHidden/>
    <w:unhideWhenUsed/>
    <w:rsid w:val="002B15B1"/>
    <w:rPr>
      <w:b/>
      <w:bCs/>
    </w:rPr>
  </w:style>
  <w:style w:type="character" w:customStyle="1" w:styleId="CommentSubjectChar">
    <w:name w:val="Comment Subject Char"/>
    <w:basedOn w:val="CommentTextChar"/>
    <w:link w:val="CommentSubject"/>
    <w:uiPriority w:val="99"/>
    <w:semiHidden/>
    <w:rsid w:val="002B15B1"/>
    <w:rPr>
      <w:rFonts w:ascii="Arial" w:eastAsia="Arial" w:hAnsi="Arial" w:cs="Arial"/>
      <w:b/>
      <w:bCs/>
      <w:sz w:val="20"/>
      <w:szCs w:val="20"/>
      <w:lang w:val="en-US" w:eastAsia="en-AU"/>
    </w:rPr>
  </w:style>
  <w:style w:type="paragraph" w:styleId="FootnoteText">
    <w:name w:val="footnote text"/>
    <w:basedOn w:val="Normal"/>
    <w:link w:val="FootnoteTextChar"/>
    <w:uiPriority w:val="99"/>
    <w:unhideWhenUsed/>
    <w:rsid w:val="00DA05C9"/>
    <w:pPr>
      <w:spacing w:after="0"/>
    </w:pPr>
  </w:style>
  <w:style w:type="character" w:customStyle="1" w:styleId="FootnoteTextChar">
    <w:name w:val="Footnote Text Char"/>
    <w:basedOn w:val="DefaultParagraphFont"/>
    <w:link w:val="FootnoteText"/>
    <w:uiPriority w:val="99"/>
    <w:rsid w:val="00DA05C9"/>
    <w:rPr>
      <w:rFonts w:ascii="Arial" w:eastAsia="Arial" w:hAnsi="Arial" w:cs="Arial"/>
      <w:sz w:val="20"/>
      <w:szCs w:val="20"/>
      <w:lang w:val="en-US" w:eastAsia="en-AU"/>
    </w:rPr>
  </w:style>
  <w:style w:type="character" w:styleId="FootnoteReference">
    <w:name w:val="footnote reference"/>
    <w:basedOn w:val="DefaultParagraphFont"/>
    <w:uiPriority w:val="99"/>
    <w:semiHidden/>
    <w:unhideWhenUsed/>
    <w:rsid w:val="00DA05C9"/>
    <w:rPr>
      <w:vertAlign w:val="superscript"/>
    </w:rPr>
  </w:style>
  <w:style w:type="character" w:styleId="FollowedHyperlink">
    <w:name w:val="FollowedHyperlink"/>
    <w:basedOn w:val="DefaultParagraphFont"/>
    <w:uiPriority w:val="99"/>
    <w:semiHidden/>
    <w:unhideWhenUsed/>
    <w:rsid w:val="00F750E3"/>
    <w:rPr>
      <w:color w:val="9CC3E5" w:themeColor="followedHyperlink"/>
      <w:u w:val="single"/>
    </w:rPr>
  </w:style>
  <w:style w:type="paragraph" w:customStyle="1" w:styleId="Link">
    <w:name w:val="Link"/>
    <w:basedOn w:val="Normal"/>
    <w:link w:val="LinkChar"/>
    <w:rsid w:val="00C51D57"/>
    <w:pPr>
      <w:spacing w:before="200" w:after="200"/>
    </w:pPr>
    <w:rPr>
      <w:color w:val="2D7E7D" w:themeColor="accent6" w:themeShade="BF"/>
    </w:rPr>
  </w:style>
  <w:style w:type="character" w:customStyle="1" w:styleId="LinkChar">
    <w:name w:val="Link Char"/>
    <w:basedOn w:val="DefaultParagraphFont"/>
    <w:link w:val="Link"/>
    <w:rsid w:val="00C51D57"/>
    <w:rPr>
      <w:rFonts w:ascii="Arial" w:eastAsia="Arial" w:hAnsi="Arial" w:cs="Arial"/>
      <w:color w:val="2D7E7D" w:themeColor="accent6" w:themeShade="BF"/>
      <w:sz w:val="20"/>
      <w:szCs w:val="20"/>
      <w:lang w:val="en-US" w:eastAsia="en-AU"/>
    </w:rPr>
  </w:style>
  <w:style w:type="paragraph" w:customStyle="1" w:styleId="Table">
    <w:name w:val="Table"/>
    <w:basedOn w:val="Normal"/>
    <w:link w:val="TableChar"/>
    <w:qFormat/>
    <w:rsid w:val="00A4607A"/>
    <w:pPr>
      <w:spacing w:before="200" w:after="200"/>
    </w:pPr>
  </w:style>
  <w:style w:type="character" w:customStyle="1" w:styleId="TableChar">
    <w:name w:val="Table Char"/>
    <w:basedOn w:val="DefaultParagraphFont"/>
    <w:link w:val="Table"/>
    <w:rsid w:val="00A4607A"/>
    <w:rPr>
      <w:rFonts w:ascii="Arial" w:eastAsia="Arial" w:hAnsi="Arial" w:cs="Arial"/>
      <w:sz w:val="20"/>
      <w:szCs w:val="20"/>
      <w:lang w:val="en-US" w:eastAsia="en-AU"/>
    </w:rPr>
  </w:style>
  <w:style w:type="table" w:styleId="GridTable1Light-Accent3">
    <w:name w:val="Grid Table 1 Light Accent 3"/>
    <w:basedOn w:val="TableNormal"/>
    <w:uiPriority w:val="46"/>
    <w:rsid w:val="00FB55A8"/>
    <w:pPr>
      <w:spacing w:after="0" w:line="240" w:lineRule="auto"/>
    </w:pPr>
    <w:tblPr>
      <w:tblStyleRowBandSize w:val="1"/>
      <w:tblStyleColBandSize w:val="1"/>
      <w:tblBorders>
        <w:top w:val="single" w:sz="4" w:space="0" w:color="C3E9E8" w:themeColor="accent3" w:themeTint="66"/>
        <w:left w:val="single" w:sz="4" w:space="0" w:color="C3E9E8" w:themeColor="accent3" w:themeTint="66"/>
        <w:bottom w:val="single" w:sz="4" w:space="0" w:color="C3E9E8" w:themeColor="accent3" w:themeTint="66"/>
        <w:right w:val="single" w:sz="4" w:space="0" w:color="C3E9E8" w:themeColor="accent3" w:themeTint="66"/>
        <w:insideH w:val="single" w:sz="4" w:space="0" w:color="C3E9E8" w:themeColor="accent3" w:themeTint="66"/>
        <w:insideV w:val="single" w:sz="4" w:space="0" w:color="C3E9E8" w:themeColor="accent3" w:themeTint="66"/>
      </w:tblBorders>
    </w:tblPr>
    <w:tblStylePr w:type="firstRow">
      <w:rPr>
        <w:b/>
        <w:bCs/>
      </w:rPr>
      <w:tblPr/>
      <w:tcPr>
        <w:tcBorders>
          <w:bottom w:val="single" w:sz="12" w:space="0" w:color="A6DEDE" w:themeColor="accent3" w:themeTint="99"/>
        </w:tcBorders>
      </w:tcPr>
    </w:tblStylePr>
    <w:tblStylePr w:type="lastRow">
      <w:rPr>
        <w:b/>
        <w:bCs/>
      </w:rPr>
      <w:tblPr/>
      <w:tcPr>
        <w:tcBorders>
          <w:top w:val="double" w:sz="2" w:space="0" w:color="A6DEDE" w:themeColor="accent3" w:themeTint="99"/>
        </w:tcBorders>
      </w:tcPr>
    </w:tblStylePr>
    <w:tblStylePr w:type="firstCol">
      <w:rPr>
        <w:b/>
        <w:bCs/>
      </w:rPr>
    </w:tblStylePr>
    <w:tblStylePr w:type="lastCol">
      <w:rPr>
        <w:b/>
        <w:bCs/>
      </w:rPr>
    </w:tblStylePr>
  </w:style>
  <w:style w:type="table" w:styleId="ListTable4">
    <w:name w:val="List Table 4"/>
    <w:basedOn w:val="TableNormal"/>
    <w:uiPriority w:val="49"/>
    <w:rsid w:val="00FB55A8"/>
    <w:pPr>
      <w:spacing w:after="0" w:line="240" w:lineRule="auto"/>
    </w:pPr>
    <w:tblPr>
      <w:tblStyleRowBandSize w:val="1"/>
      <w:tblStyleColBandSize w:val="1"/>
      <w:tblBorders>
        <w:top w:val="single" w:sz="4" w:space="0" w:color="6881A7" w:themeColor="text1" w:themeTint="99"/>
        <w:left w:val="single" w:sz="4" w:space="0" w:color="6881A7" w:themeColor="text1" w:themeTint="99"/>
        <w:bottom w:val="single" w:sz="4" w:space="0" w:color="6881A7" w:themeColor="text1" w:themeTint="99"/>
        <w:right w:val="single" w:sz="4" w:space="0" w:color="6881A7" w:themeColor="text1" w:themeTint="99"/>
        <w:insideH w:val="single" w:sz="4" w:space="0" w:color="6881A7" w:themeColor="text1" w:themeTint="99"/>
      </w:tblBorders>
    </w:tblPr>
    <w:tblStylePr w:type="firstRow">
      <w:rPr>
        <w:b/>
        <w:bCs/>
        <w:color w:val="FFFFFF" w:themeColor="background1"/>
      </w:rPr>
      <w:tblPr/>
      <w:tcPr>
        <w:tcBorders>
          <w:top w:val="single" w:sz="4" w:space="0" w:color="2A3648" w:themeColor="text1"/>
          <w:left w:val="single" w:sz="4" w:space="0" w:color="2A3648" w:themeColor="text1"/>
          <w:bottom w:val="single" w:sz="4" w:space="0" w:color="2A3648" w:themeColor="text1"/>
          <w:right w:val="single" w:sz="4" w:space="0" w:color="2A3648" w:themeColor="text1"/>
          <w:insideH w:val="nil"/>
        </w:tcBorders>
        <w:shd w:val="clear" w:color="auto" w:fill="2A3648" w:themeFill="text1"/>
      </w:tcPr>
    </w:tblStylePr>
    <w:tblStylePr w:type="lastRow">
      <w:rPr>
        <w:b/>
        <w:bCs/>
      </w:rPr>
      <w:tblPr/>
      <w:tcPr>
        <w:tcBorders>
          <w:top w:val="double" w:sz="4" w:space="0" w:color="6881A7" w:themeColor="text1" w:themeTint="99"/>
        </w:tcBorders>
      </w:tcPr>
    </w:tblStylePr>
    <w:tblStylePr w:type="firstCol">
      <w:rPr>
        <w:b/>
        <w:bCs/>
      </w:rPr>
    </w:tblStylePr>
    <w:tblStylePr w:type="lastCol">
      <w:rPr>
        <w:b/>
        <w:bCs/>
      </w:rPr>
    </w:tblStylePr>
    <w:tblStylePr w:type="band1Vert">
      <w:tblPr/>
      <w:tcPr>
        <w:shd w:val="clear" w:color="auto" w:fill="CCD5E1" w:themeFill="text1" w:themeFillTint="33"/>
      </w:tcPr>
    </w:tblStylePr>
    <w:tblStylePr w:type="band1Horz">
      <w:tblPr/>
      <w:tcPr>
        <w:shd w:val="clear" w:color="auto" w:fill="CCD5E1" w:themeFill="text1" w:themeFillTint="33"/>
      </w:tcPr>
    </w:tblStylePr>
  </w:style>
  <w:style w:type="table" w:styleId="GridTable5Dark-Accent3">
    <w:name w:val="Grid Table 5 Dark Accent 3"/>
    <w:basedOn w:val="TableNormal"/>
    <w:uiPriority w:val="50"/>
    <w:rsid w:val="00FB55A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4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C9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C9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C9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C9C8" w:themeFill="accent3"/>
      </w:tcPr>
    </w:tblStylePr>
    <w:tblStylePr w:type="band1Vert">
      <w:tblPr/>
      <w:tcPr>
        <w:shd w:val="clear" w:color="auto" w:fill="C3E9E8" w:themeFill="accent3" w:themeFillTint="66"/>
      </w:tcPr>
    </w:tblStylePr>
    <w:tblStylePr w:type="band1Horz">
      <w:tblPr/>
      <w:tcPr>
        <w:shd w:val="clear" w:color="auto" w:fill="C3E9E8" w:themeFill="accent3" w:themeFillTint="66"/>
      </w:tcPr>
    </w:tblStylePr>
  </w:style>
  <w:style w:type="table" w:styleId="GridTable4-Accent6">
    <w:name w:val="Grid Table 4 Accent 6"/>
    <w:basedOn w:val="TableNormal"/>
    <w:uiPriority w:val="49"/>
    <w:rsid w:val="00FB55A8"/>
    <w:pPr>
      <w:spacing w:after="0" w:line="240" w:lineRule="auto"/>
    </w:pPr>
    <w:tblPr>
      <w:tblStyleRowBandSize w:val="1"/>
      <w:tblStyleColBandSize w:val="1"/>
      <w:tblBorders>
        <w:top w:val="single" w:sz="4" w:space="0" w:color="83D2D1" w:themeColor="accent6" w:themeTint="99"/>
        <w:left w:val="single" w:sz="4" w:space="0" w:color="83D2D1" w:themeColor="accent6" w:themeTint="99"/>
        <w:bottom w:val="single" w:sz="4" w:space="0" w:color="83D2D1" w:themeColor="accent6" w:themeTint="99"/>
        <w:right w:val="single" w:sz="4" w:space="0" w:color="83D2D1" w:themeColor="accent6" w:themeTint="99"/>
        <w:insideH w:val="single" w:sz="4" w:space="0" w:color="83D2D1" w:themeColor="accent6" w:themeTint="99"/>
        <w:insideV w:val="single" w:sz="4" w:space="0" w:color="83D2D1" w:themeColor="accent6" w:themeTint="99"/>
      </w:tblBorders>
    </w:tblPr>
    <w:tblStylePr w:type="firstRow">
      <w:rPr>
        <w:b/>
        <w:bCs/>
        <w:color w:val="FFFFFF" w:themeColor="background1"/>
      </w:rPr>
      <w:tblPr/>
      <w:tcPr>
        <w:tcBorders>
          <w:top w:val="single" w:sz="4" w:space="0" w:color="3DA9A8" w:themeColor="accent6"/>
          <w:left w:val="single" w:sz="4" w:space="0" w:color="3DA9A8" w:themeColor="accent6"/>
          <w:bottom w:val="single" w:sz="4" w:space="0" w:color="3DA9A8" w:themeColor="accent6"/>
          <w:right w:val="single" w:sz="4" w:space="0" w:color="3DA9A8" w:themeColor="accent6"/>
          <w:insideH w:val="nil"/>
          <w:insideV w:val="nil"/>
        </w:tcBorders>
        <w:shd w:val="clear" w:color="auto" w:fill="3DA9A8" w:themeFill="accent6"/>
      </w:tcPr>
    </w:tblStylePr>
    <w:tblStylePr w:type="lastRow">
      <w:rPr>
        <w:b/>
        <w:bCs/>
      </w:rPr>
      <w:tblPr/>
      <w:tcPr>
        <w:tcBorders>
          <w:top w:val="double" w:sz="4" w:space="0" w:color="3DA9A8" w:themeColor="accent6"/>
        </w:tcBorders>
      </w:tcPr>
    </w:tblStylePr>
    <w:tblStylePr w:type="firstCol">
      <w:rPr>
        <w:b/>
        <w:bCs/>
      </w:rPr>
    </w:tblStylePr>
    <w:tblStylePr w:type="lastCol">
      <w:rPr>
        <w:b/>
        <w:bCs/>
      </w:rPr>
    </w:tblStylePr>
    <w:tblStylePr w:type="band1Vert">
      <w:tblPr/>
      <w:tcPr>
        <w:shd w:val="clear" w:color="auto" w:fill="D5F0EF" w:themeFill="accent6" w:themeFillTint="33"/>
      </w:tcPr>
    </w:tblStylePr>
    <w:tblStylePr w:type="band1Horz">
      <w:tblPr/>
      <w:tcPr>
        <w:shd w:val="clear" w:color="auto" w:fill="D5F0EF" w:themeFill="accent6" w:themeFillTint="33"/>
      </w:tcPr>
    </w:tblStylePr>
  </w:style>
  <w:style w:type="table" w:styleId="GridTable4-Accent3">
    <w:name w:val="Grid Table 4 Accent 3"/>
    <w:basedOn w:val="TableNormal"/>
    <w:uiPriority w:val="49"/>
    <w:rsid w:val="00FB55A8"/>
    <w:pPr>
      <w:spacing w:after="0" w:line="240" w:lineRule="auto"/>
    </w:pPr>
    <w:tblPr>
      <w:tblStyleRowBandSize w:val="1"/>
      <w:tblStyleColBandSize w:val="1"/>
      <w:tblBorders>
        <w:top w:val="single" w:sz="4" w:space="0" w:color="A6DEDE" w:themeColor="accent3" w:themeTint="99"/>
        <w:left w:val="single" w:sz="4" w:space="0" w:color="A6DEDE" w:themeColor="accent3" w:themeTint="99"/>
        <w:bottom w:val="single" w:sz="4" w:space="0" w:color="A6DEDE" w:themeColor="accent3" w:themeTint="99"/>
        <w:right w:val="single" w:sz="4" w:space="0" w:color="A6DEDE" w:themeColor="accent3" w:themeTint="99"/>
        <w:insideH w:val="single" w:sz="4" w:space="0" w:color="A6DEDE" w:themeColor="accent3" w:themeTint="99"/>
        <w:insideV w:val="single" w:sz="4" w:space="0" w:color="A6DEDE" w:themeColor="accent3" w:themeTint="99"/>
      </w:tblBorders>
    </w:tblPr>
    <w:tblStylePr w:type="firstRow">
      <w:rPr>
        <w:b/>
        <w:bCs/>
        <w:color w:val="FFFFFF" w:themeColor="background1"/>
      </w:rPr>
      <w:tblPr/>
      <w:tcPr>
        <w:tcBorders>
          <w:top w:val="single" w:sz="4" w:space="0" w:color="6BC9C8" w:themeColor="accent3"/>
          <w:left w:val="single" w:sz="4" w:space="0" w:color="6BC9C8" w:themeColor="accent3"/>
          <w:bottom w:val="single" w:sz="4" w:space="0" w:color="6BC9C8" w:themeColor="accent3"/>
          <w:right w:val="single" w:sz="4" w:space="0" w:color="6BC9C8" w:themeColor="accent3"/>
          <w:insideH w:val="nil"/>
          <w:insideV w:val="nil"/>
        </w:tcBorders>
        <w:shd w:val="clear" w:color="auto" w:fill="6BC9C8" w:themeFill="accent3"/>
      </w:tcPr>
    </w:tblStylePr>
    <w:tblStylePr w:type="lastRow">
      <w:rPr>
        <w:b/>
        <w:bCs/>
      </w:rPr>
      <w:tblPr/>
      <w:tcPr>
        <w:tcBorders>
          <w:top w:val="double" w:sz="4" w:space="0" w:color="6BC9C8" w:themeColor="accent3"/>
        </w:tcBorders>
      </w:tcPr>
    </w:tblStylePr>
    <w:tblStylePr w:type="firstCol">
      <w:rPr>
        <w:b/>
        <w:bCs/>
      </w:rPr>
    </w:tblStylePr>
    <w:tblStylePr w:type="lastCol">
      <w:rPr>
        <w:b/>
        <w:bCs/>
      </w:rPr>
    </w:tblStylePr>
    <w:tblStylePr w:type="band1Vert">
      <w:tblPr/>
      <w:tcPr>
        <w:shd w:val="clear" w:color="auto" w:fill="E1F4F3" w:themeFill="accent3" w:themeFillTint="33"/>
      </w:tcPr>
    </w:tblStylePr>
    <w:tblStylePr w:type="band1Horz">
      <w:tblPr/>
      <w:tcPr>
        <w:shd w:val="clear" w:color="auto" w:fill="E1F4F3" w:themeFill="accent3" w:themeFillTint="33"/>
      </w:tcPr>
    </w:tblStylePr>
  </w:style>
  <w:style w:type="table" w:styleId="GridTable3">
    <w:name w:val="Grid Table 3"/>
    <w:basedOn w:val="TableNormal"/>
    <w:uiPriority w:val="48"/>
    <w:rsid w:val="00FB55A8"/>
    <w:pPr>
      <w:spacing w:after="0" w:line="240" w:lineRule="auto"/>
    </w:pPr>
    <w:tblPr>
      <w:tblStyleRowBandSize w:val="1"/>
      <w:tblStyleColBandSize w:val="1"/>
      <w:tblBorders>
        <w:top w:val="single" w:sz="4" w:space="0" w:color="6881A7" w:themeColor="text1" w:themeTint="99"/>
        <w:left w:val="single" w:sz="4" w:space="0" w:color="6881A7" w:themeColor="text1" w:themeTint="99"/>
        <w:bottom w:val="single" w:sz="4" w:space="0" w:color="6881A7" w:themeColor="text1" w:themeTint="99"/>
        <w:right w:val="single" w:sz="4" w:space="0" w:color="6881A7" w:themeColor="text1" w:themeTint="99"/>
        <w:insideH w:val="single" w:sz="4" w:space="0" w:color="6881A7" w:themeColor="text1" w:themeTint="99"/>
        <w:insideV w:val="single" w:sz="4" w:space="0" w:color="6881A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5E1" w:themeFill="text1" w:themeFillTint="33"/>
      </w:tcPr>
    </w:tblStylePr>
    <w:tblStylePr w:type="band1Horz">
      <w:tblPr/>
      <w:tcPr>
        <w:shd w:val="clear" w:color="auto" w:fill="CCD5E1" w:themeFill="text1" w:themeFillTint="33"/>
      </w:tcPr>
    </w:tblStylePr>
    <w:tblStylePr w:type="neCell">
      <w:tblPr/>
      <w:tcPr>
        <w:tcBorders>
          <w:bottom w:val="single" w:sz="4" w:space="0" w:color="6881A7" w:themeColor="text1" w:themeTint="99"/>
        </w:tcBorders>
      </w:tcPr>
    </w:tblStylePr>
    <w:tblStylePr w:type="nwCell">
      <w:tblPr/>
      <w:tcPr>
        <w:tcBorders>
          <w:bottom w:val="single" w:sz="4" w:space="0" w:color="6881A7" w:themeColor="text1" w:themeTint="99"/>
        </w:tcBorders>
      </w:tcPr>
    </w:tblStylePr>
    <w:tblStylePr w:type="seCell">
      <w:tblPr/>
      <w:tcPr>
        <w:tcBorders>
          <w:top w:val="single" w:sz="4" w:space="0" w:color="6881A7" w:themeColor="text1" w:themeTint="99"/>
        </w:tcBorders>
      </w:tcPr>
    </w:tblStylePr>
    <w:tblStylePr w:type="swCell">
      <w:tblPr/>
      <w:tcPr>
        <w:tcBorders>
          <w:top w:val="single" w:sz="4" w:space="0" w:color="6881A7" w:themeColor="text1" w:themeTint="99"/>
        </w:tcBorders>
      </w:tcPr>
    </w:tblStylePr>
  </w:style>
  <w:style w:type="character" w:styleId="Mention">
    <w:name w:val="Mention"/>
    <w:basedOn w:val="DefaultParagraphFont"/>
    <w:uiPriority w:val="99"/>
    <w:unhideWhenUsed/>
    <w:rsid w:val="00661D0C"/>
    <w:rPr>
      <w:color w:val="2B579A"/>
      <w:shd w:val="clear" w:color="auto" w:fill="E1DFDD"/>
    </w:rPr>
  </w:style>
  <w:style w:type="paragraph" w:customStyle="1" w:styleId="Bulletlist">
    <w:name w:val="Bullet list"/>
    <w:basedOn w:val="ListParagraph"/>
    <w:qFormat/>
    <w:rsid w:val="00F85279"/>
  </w:style>
  <w:style w:type="paragraph" w:styleId="Revision">
    <w:name w:val="Revision"/>
    <w:hidden/>
    <w:uiPriority w:val="99"/>
    <w:semiHidden/>
    <w:rsid w:val="002E341D"/>
    <w:pPr>
      <w:spacing w:after="0" w:line="240" w:lineRule="auto"/>
    </w:pPr>
    <w:rPr>
      <w:rFonts w:eastAsia="Muli" w:cstheme="minorHAnsi"/>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5967">
      <w:bodyDiv w:val="1"/>
      <w:marLeft w:val="0"/>
      <w:marRight w:val="0"/>
      <w:marTop w:val="0"/>
      <w:marBottom w:val="0"/>
      <w:divBdr>
        <w:top w:val="none" w:sz="0" w:space="0" w:color="auto"/>
        <w:left w:val="none" w:sz="0" w:space="0" w:color="auto"/>
        <w:bottom w:val="none" w:sz="0" w:space="0" w:color="auto"/>
        <w:right w:val="none" w:sz="0" w:space="0" w:color="auto"/>
      </w:divBdr>
    </w:div>
    <w:div w:id="14783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qld.gov.au/view/html/inforce/current/act-1999-010" TargetMode="External"/><Relationship Id="rId18" Type="http://schemas.openxmlformats.org/officeDocument/2006/relationships/hyperlink" Target="https://cspm.csyw.qld.gov.au/procedures/support-a-child-in-care" TargetMode="External"/><Relationship Id="rId26" Type="http://schemas.openxmlformats.org/officeDocument/2006/relationships/hyperlink" Target="https://www.publications.qld.gov.au/ckan-publications-attachments-prod/resources/68b6223c-6f48-4dd6-bb2a-cf967d344e8f/investment-spec-svwss.pdf?ETag=330b007816dc4d2714c00f7f2c03d979" TargetMode="External"/><Relationship Id="rId39" Type="http://schemas.openxmlformats.org/officeDocument/2006/relationships/theme" Target="theme/theme1.xml"/><Relationship Id="rId21" Type="http://schemas.openxmlformats.org/officeDocument/2006/relationships/hyperlink" Target="https://www.legislation.qld.gov.au/view/html/inforce/current/act-2012-005"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dcssds.qld.gov.au/our-work/multicultural-affairs/policy-governance/language-services-policy" TargetMode="External"/><Relationship Id="rId17" Type="http://schemas.openxmlformats.org/officeDocument/2006/relationships/hyperlink" Target="https://www.qatsicpp.com.au/wp-content/uploads/2020/05/QATSICPP_Practice_Standards.pdf" TargetMode="External"/><Relationship Id="rId25" Type="http://schemas.openxmlformats.org/officeDocument/2006/relationships/hyperlink" Target="https://www.publications.qld.gov.au/ckan-publications-attachments-prod/resources/c96539aa-1351-4971-8f5b-7515fb3c121c/investment-spec-dfvss.pdf?ETag=7157f7e289154a97190c02d3058167a8" TargetMode="External"/><Relationship Id="rId33" Type="http://schemas.openxmlformats.org/officeDocument/2006/relationships/hyperlink" Target="https://www.communities.qld.gov.au/industry-partners/funding-grants/human-services-quality-framewor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cssds.qld.gov.au/resources/dcsyw/about-us/funding-grants/agreements/funding-service-details.pdf" TargetMode="External"/><Relationship Id="rId20" Type="http://schemas.openxmlformats.org/officeDocument/2006/relationships/hyperlink" Target="https://www.legislation.qld.gov.au/view/html/inforce/current/act-1999-010" TargetMode="External"/><Relationship Id="rId29" Type="http://schemas.openxmlformats.org/officeDocument/2006/relationships/hyperlink" Target="https://www.google.com/url?sa=t&amp;source=web&amp;rct=j&amp;opi=89978449&amp;url=https://www.legislation.qld.gov.au/view/html/inforce/current/act-2006-012&amp;ved=2ahUKEwj3nceu9pOGAxVXyDgGHZkgCLUQFnoECBYQAQ&amp;usg=AOvVaw0h9KWWj-a1iqPl2NHE0Yf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qld.gov.au/view/html/inforce/current/act-2019-005" TargetMode="External"/><Relationship Id="rId24" Type="http://schemas.openxmlformats.org/officeDocument/2006/relationships/hyperlink" Target="https://www.publications.qld.gov.au/dataset/16d7913c-96d6-42bd-aed2-f31f24315407/resource/692b099f-a1e3-4a9d-aa30-d1ebdedae510/download/dfv-services-regulatory-framework.pdf" TargetMode="External"/><Relationship Id="rId32" Type="http://schemas.openxmlformats.org/officeDocument/2006/relationships/hyperlink" Target="https://www.justice.qld.gov.au/about-us/services/women-violence-prevention/violence-prevention/service-providers/domestic-and-family-violence-services-regulatory-framework" TargetMode="External"/><Relationship Id="rId37"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5.austlii.edu.au/au/legis/qld/consol_act/cpa1999177/s122.html" TargetMode="External"/><Relationship Id="rId23" Type="http://schemas.openxmlformats.org/officeDocument/2006/relationships/hyperlink" Target="https://www.publications.qld.gov.au/ckan-publications-attachments-prod/resources/366f94a8-1122-42ff-9c19-d968fd21c173/dfv-services-practice-principles-standards-and-guidance.pdf?ETag=8465906b55ef511a2a2db9721f74b69a" TargetMode="External"/><Relationship Id="rId28" Type="http://schemas.openxmlformats.org/officeDocument/2006/relationships/hyperlink" Target="https://static1.squarespace.com/static/5fa0db2b7ce66d7cda3bbe00/t/613583e1573d0042b238fd9b/1630897132183/Standards+of+Practice+Manual+for+Services+Against+Sexual+Violence+3rd+Edition.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ublications.qld.gov.au/ckan-publications-attachments-prod/resources/c927ea9b-6973-4912-966e-dc11d1d46a67/common-risk-safety-framework-2022.pdf?ETag=70793b6943532f9f1f2c9f038704f600" TargetMode="External"/><Relationship Id="rId31" Type="http://schemas.openxmlformats.org/officeDocument/2006/relationships/hyperlink" Target="https://www.publications.qld.gov.au/dataset/domestic-and-family-violence-resources/resource/e75875e0-50a9-4fa2-acde-121dc4a3a804?truncate=30&amp;inner_span=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assic.austlii.edu.au/au/legis/qld/consol_act/cpa1999177/s75.html" TargetMode="External"/><Relationship Id="rId22" Type="http://schemas.openxmlformats.org/officeDocument/2006/relationships/hyperlink" Target="https://www.publications.qld.gov.au/ckan-publications-attachments-prod/resources/c927ea9b-6973-4912-966e-dc11d1d46a67/common-risk-safety-framework-2022.pdf?ETag=70793b6943532f9f1f2c9f038704f600" TargetMode="External"/><Relationship Id="rId27" Type="http://schemas.openxmlformats.org/officeDocument/2006/relationships/hyperlink" Target="https://www.publications.qld.gov.au/ckan-publications-attachments-prod/resources/924faa15-d282-48f0-a8e8-739521e2b0b1/interagency-guidelines-responding-sexual-assault-child-sexual-abuse.pdf?ETag=8273e87f1f8e6a4cc860ecdf3e556030" TargetMode="External"/><Relationship Id="rId30" Type="http://schemas.openxmlformats.org/officeDocument/2006/relationships/hyperlink" Target="https://www.legislation.qld.gov.au/view/html/inforce/current/sl-2017-0099"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publications.qld.gov.au/ckan-publications-attachments-prod/resources/c96539aa-1351-4971-8f5b-7515fb3c121c/investment-spec-dfvss.pdf?ETag=7157f7e289154a97190c02d3058167a8" TargetMode="External"/><Relationship Id="rId2" Type="http://schemas.openxmlformats.org/officeDocument/2006/relationships/hyperlink" Target="http://www.dcssds.qld.gov.au/our-work/human-services-quality-framework" TargetMode="External"/><Relationship Id="rId1" Type="http://schemas.openxmlformats.org/officeDocument/2006/relationships/hyperlink" Target="mailto:hsqf@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thanLightfoot\OneDrive%20-%20Queensland%20Council%20Of%20Social%20Service%20Ltd\Documents\Custom%20Office%20Templates\Long_Report_Template.dotx" TargetMode="External"/></Relationships>
</file>

<file path=word/theme/theme1.xml><?xml version="1.0" encoding="utf-8"?>
<a:theme xmlns:a="http://schemas.openxmlformats.org/drawingml/2006/main" name="Office Theme">
  <a:themeElements>
    <a:clrScheme name="QCOSS PowerPoint Colours">
      <a:dk1>
        <a:srgbClr val="2A3648"/>
      </a:dk1>
      <a:lt1>
        <a:srgbClr val="FFFFFF"/>
      </a:lt1>
      <a:dk2>
        <a:srgbClr val="2A3648"/>
      </a:dk2>
      <a:lt2>
        <a:srgbClr val="FFFFFF"/>
      </a:lt2>
      <a:accent1>
        <a:srgbClr val="FAA61B"/>
      </a:accent1>
      <a:accent2>
        <a:srgbClr val="F26638"/>
      </a:accent2>
      <a:accent3>
        <a:srgbClr val="6BC9C8"/>
      </a:accent3>
      <a:accent4>
        <a:srgbClr val="CB8004"/>
      </a:accent4>
      <a:accent5>
        <a:srgbClr val="D13E0D"/>
      </a:accent5>
      <a:accent6>
        <a:srgbClr val="3DA9A8"/>
      </a:accent6>
      <a:hlink>
        <a:srgbClr val="6BC9C8"/>
      </a:hlink>
      <a:folHlink>
        <a:srgbClr val="9CC3E5"/>
      </a:folHlink>
    </a:clrScheme>
    <a:fontScheme name="QCOSS_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ojectLead xmlns="7cd5d248-515f-4f75-944a-47fd623a6c44">
      <UserInfo>
        <DisplayName/>
        <AccountId xsi:nil="true"/>
        <AccountType/>
      </UserInfo>
    </ProjectLead>
    <TaxCatchAll xmlns="bf916b0d-7c40-48b1-87b8-3efeb89701ee" xsi:nil="true"/>
    <lcf76f155ced4ddcb4097134ff3c332f xmlns="7cd5d248-515f-4f75-944a-47fd623a6c44">
      <Terms xmlns="http://schemas.microsoft.com/office/infopath/2007/PartnerControls"/>
    </lcf76f155ced4ddcb4097134ff3c332f>
    <SharedWithUsers xmlns="bf916b0d-7c40-48b1-87b8-3efeb89701ee">
      <UserInfo>
        <DisplayName>Samuel Mortimer</DisplayName>
        <AccountId>31</AccountId>
        <AccountType/>
      </UserInfo>
      <UserInfo>
        <DisplayName>Stacey De Calmer</DisplayName>
        <AccountId>58</AccountId>
        <AccountType/>
      </UserInfo>
      <UserInfo>
        <DisplayName>Kelly Sumner</DisplayName>
        <AccountId>2279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E848FE099C774BB419DD6F357A8279" ma:contentTypeVersion="21" ma:contentTypeDescription="Create a new document." ma:contentTypeScope="" ma:versionID="ff5580d7e27f8295a93165a2988ab7d5">
  <xsd:schema xmlns:xsd="http://www.w3.org/2001/XMLSchema" xmlns:xs="http://www.w3.org/2001/XMLSchema" xmlns:p="http://schemas.microsoft.com/office/2006/metadata/properties" xmlns:ns2="7cd5d248-515f-4f75-944a-47fd623a6c44" xmlns:ns3="bf916b0d-7c40-48b1-87b8-3efeb89701ee" targetNamespace="http://schemas.microsoft.com/office/2006/metadata/properties" ma:root="true" ma:fieldsID="d61de12d61693e8002ff1ad31e944ee4" ns2:_="" ns3:_="">
    <xsd:import namespace="7cd5d248-515f-4f75-944a-47fd623a6c44"/>
    <xsd:import namespace="bf916b0d-7c40-48b1-87b8-3efeb89701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ProjectLead"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d248-515f-4f75-944a-47fd623a6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rojectLead" ma:index="21" nillable="true" ma:displayName="Project Lead" ma:format="Dropdown" ma:list="UserInfo" ma:SharePointGroup="0" ma:internalName="Project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9687-0587-42ff-ba0e-e8e9413fefd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16b0d-7c40-48b1-87b8-3efeb89701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9669d0b-bb57-43e2-aeb6-329f78e1dbc6}" ma:internalName="TaxCatchAll" ma:showField="CatchAllData" ma:web="bf916b0d-7c40-48b1-87b8-3efeb89701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A317C-3798-413B-814A-5119D1656D25}">
  <ds:schemaRefs>
    <ds:schemaRef ds:uri="http://schemas.microsoft.com/sharepoint/v3/contenttype/forms"/>
  </ds:schemaRefs>
</ds:datastoreItem>
</file>

<file path=customXml/itemProps2.xml><?xml version="1.0" encoding="utf-8"?>
<ds:datastoreItem xmlns:ds="http://schemas.openxmlformats.org/officeDocument/2006/customXml" ds:itemID="{7F928BF4-F8F8-4A81-8036-0C83B59C232B}">
  <ds:schemaRefs>
    <ds:schemaRef ds:uri="http://schemas.openxmlformats.org/officeDocument/2006/bibliography"/>
  </ds:schemaRefs>
</ds:datastoreItem>
</file>

<file path=customXml/itemProps3.xml><?xml version="1.0" encoding="utf-8"?>
<ds:datastoreItem xmlns:ds="http://schemas.openxmlformats.org/officeDocument/2006/customXml" ds:itemID="{8525FC49-B45A-4F88-BA36-8B5E002C0F22}">
  <ds:schemaRefs>
    <ds:schemaRef ds:uri="http://schemas.microsoft.com/office/2006/metadata/properties"/>
    <ds:schemaRef ds:uri="http://schemas.microsoft.com/office/infopath/2007/PartnerControls"/>
    <ds:schemaRef ds:uri="7cd5d248-515f-4f75-944a-47fd623a6c44"/>
    <ds:schemaRef ds:uri="bf916b0d-7c40-48b1-87b8-3efeb89701ee"/>
  </ds:schemaRefs>
</ds:datastoreItem>
</file>

<file path=customXml/itemProps4.xml><?xml version="1.0" encoding="utf-8"?>
<ds:datastoreItem xmlns:ds="http://schemas.openxmlformats.org/officeDocument/2006/customXml" ds:itemID="{85218C96-DE60-44DE-981B-0904E1F11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d248-515f-4f75-944a-47fd623a6c44"/>
    <ds:schemaRef ds:uri="bf916b0d-7c40-48b1-87b8-3efeb8970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Long_Report_Template.dotx</Template>
  <TotalTime>1</TotalTime>
  <Pages>10</Pages>
  <Words>3825</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Lightfoot</dc:creator>
  <cp:keywords/>
  <dc:description/>
  <cp:lastModifiedBy>Samuel Mortimer</cp:lastModifiedBy>
  <cp:revision>2</cp:revision>
  <dcterms:created xsi:type="dcterms:W3CDTF">2024-10-29T04:08:00Z</dcterms:created>
  <dcterms:modified xsi:type="dcterms:W3CDTF">2024-10-29T04:08:00Z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0x01010002E848FE099C774BB419DD6F357A8279</vt:lpwstr>
  </property>
  <property fmtid="{D5CDD505-2E9C-101B-9397-08002B2CF9AE}" pid="3" name="MediaServiceImageTags">
    <vt:lpwstr/>
  </property>
</Properties>
</file>