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48E8D" w14:textId="6BCDA954" w:rsidR="0022039C" w:rsidRPr="00700CA9" w:rsidRDefault="0022039C" w:rsidP="003D030A">
      <w:pPr>
        <w:pStyle w:val="Heading1"/>
      </w:pPr>
      <w:r w:rsidRPr="00700CA9">
        <w:t xml:space="preserve">Policy </w:t>
      </w:r>
      <w:r w:rsidR="00524176" w:rsidRPr="00700CA9">
        <w:t>G</w:t>
      </w:r>
      <w:r w:rsidRPr="00700CA9">
        <w:t xml:space="preserve">uide and </w:t>
      </w:r>
      <w:r w:rsidR="00524176" w:rsidRPr="00700CA9">
        <w:t>C</w:t>
      </w:r>
      <w:r w:rsidRPr="00700CA9">
        <w:t>hecklist</w:t>
      </w:r>
      <w:bookmarkStart w:id="0" w:name="_heading=h.wv29di344pi1"/>
      <w:bookmarkEnd w:id="0"/>
    </w:p>
    <w:p w14:paraId="2C43F33E" w14:textId="77777777" w:rsidR="009009E7" w:rsidRDefault="00425EB3" w:rsidP="003D030A">
      <w:r w:rsidRPr="00700CA9">
        <w:t xml:space="preserve">This front page is to guide users in </w:t>
      </w:r>
      <w:r w:rsidR="002A7B3E" w:rsidRPr="00700CA9">
        <w:t xml:space="preserve">developing </w:t>
      </w:r>
      <w:r w:rsidR="00D27259" w:rsidRPr="00700CA9">
        <w:t>their</w:t>
      </w:r>
      <w:r w:rsidR="002A7B3E" w:rsidRPr="00700CA9">
        <w:t xml:space="preserve"> Governance</w:t>
      </w:r>
      <w:r w:rsidRPr="00700CA9">
        <w:t xml:space="preserve"> Policy and Procedure</w:t>
      </w:r>
      <w:r w:rsidR="00D27259" w:rsidRPr="00700CA9">
        <w:t>s</w:t>
      </w:r>
      <w:r w:rsidRPr="00700CA9">
        <w:t>.</w:t>
      </w:r>
      <w:r w:rsidR="001B7C0D">
        <w:t xml:space="preserve"> </w:t>
      </w:r>
      <w:r w:rsidR="009009E7">
        <w:t>To help you complete your policy and procedures:</w:t>
      </w:r>
    </w:p>
    <w:p w14:paraId="49458D8C" w14:textId="511BA2DE" w:rsidR="001B7C0D" w:rsidRDefault="00BD32CE" w:rsidP="00F85279">
      <w:pPr>
        <w:pStyle w:val="ListParagraph"/>
        <w:numPr>
          <w:ilvl w:val="0"/>
          <w:numId w:val="23"/>
        </w:numPr>
        <w:ind w:left="426"/>
      </w:pPr>
      <w:r>
        <w:t>Basic i</w:t>
      </w:r>
      <w:r w:rsidR="001B7C0D">
        <w:t xml:space="preserve">nstructions </w:t>
      </w:r>
      <w:r>
        <w:t xml:space="preserve">and choices between specific terms are indicated by </w:t>
      </w:r>
      <w:r w:rsidRPr="009009E7">
        <w:rPr>
          <w:highlight w:val="yellow"/>
        </w:rPr>
        <w:t>yellow highlighting</w:t>
      </w:r>
      <w:r>
        <w:t>.</w:t>
      </w:r>
    </w:p>
    <w:p w14:paraId="31950EBD" w14:textId="056BEAFD" w:rsidR="00BD32CE" w:rsidRDefault="009009E7" w:rsidP="00F85279">
      <w:pPr>
        <w:pStyle w:val="ListParagraph"/>
        <w:numPr>
          <w:ilvl w:val="0"/>
          <w:numId w:val="23"/>
        </w:numPr>
        <w:ind w:left="426"/>
      </w:pPr>
      <w:r>
        <w:t xml:space="preserve">Sections requiring detail are </w:t>
      </w:r>
      <w:r w:rsidR="002C2172">
        <w:t xml:space="preserve">indicated by </w:t>
      </w:r>
      <w:r w:rsidR="002C2172" w:rsidRPr="002C2172">
        <w:rPr>
          <w:highlight w:val="green"/>
        </w:rPr>
        <w:t>green highlighting</w:t>
      </w:r>
      <w:r w:rsidR="002C2172">
        <w:t>.</w:t>
      </w:r>
    </w:p>
    <w:p w14:paraId="2E83E490" w14:textId="69A3D52C" w:rsidR="005A4F38" w:rsidRDefault="005A4F38" w:rsidP="003D030A">
      <w:r>
        <w:t>For further guidance, the following resources are recommended:</w:t>
      </w:r>
    </w:p>
    <w:p w14:paraId="5F8F0BB7" w14:textId="33A6C4F6" w:rsidR="005674AA" w:rsidRPr="00566FDE" w:rsidRDefault="005674AA" w:rsidP="00F85279">
      <w:pPr>
        <w:pStyle w:val="ListParagraph"/>
        <w:numPr>
          <w:ilvl w:val="0"/>
          <w:numId w:val="23"/>
        </w:numPr>
        <w:ind w:left="426"/>
        <w:rPr>
          <w:color w:val="2D7E7D" w:themeColor="accent6" w:themeShade="BF"/>
        </w:rPr>
      </w:pPr>
      <w:r>
        <w:t xml:space="preserve">Australian Charities and Not-for-profits Commission </w:t>
      </w:r>
      <w:hyperlink r:id="rId11" w:history="1">
        <w:r w:rsidRPr="00613576">
          <w:rPr>
            <w:rStyle w:val="Hyperlink"/>
            <w:color w:val="2D7E7D" w:themeColor="accent6" w:themeShade="BF"/>
          </w:rPr>
          <w:t>Governance for Good: A Guide for Responsible People</w:t>
        </w:r>
      </w:hyperlink>
      <w:r w:rsidR="0078203E" w:rsidRPr="0078203E">
        <w:rPr>
          <w:color w:val="000000"/>
        </w:rPr>
        <w:t>.</w:t>
      </w:r>
    </w:p>
    <w:p w14:paraId="1DA7C419" w14:textId="2762199A" w:rsidR="00566FDE" w:rsidRPr="0078203E" w:rsidRDefault="00566FDE" w:rsidP="00F85279">
      <w:pPr>
        <w:pStyle w:val="ListParagraph"/>
        <w:numPr>
          <w:ilvl w:val="0"/>
          <w:numId w:val="23"/>
        </w:numPr>
        <w:ind w:left="426"/>
        <w:rPr>
          <w:color w:val="2D7E7D" w:themeColor="accent6" w:themeShade="BF"/>
        </w:rPr>
      </w:pPr>
      <w:r>
        <w:t xml:space="preserve">Australian Institute of Company Directors </w:t>
      </w:r>
      <w:hyperlink r:id="rId12" w:history="1">
        <w:r w:rsidRPr="00566FDE">
          <w:rPr>
            <w:rStyle w:val="Hyperlink"/>
            <w:color w:val="2D7E7D" w:themeColor="accent6" w:themeShade="BF"/>
          </w:rPr>
          <w:t>Not-for-Profit Governance Principles</w:t>
        </w:r>
      </w:hyperlink>
      <w:r w:rsidRPr="00566FDE">
        <w:rPr>
          <w:color w:val="000000"/>
        </w:rPr>
        <w:t>.</w:t>
      </w:r>
    </w:p>
    <w:p w14:paraId="3218738F" w14:textId="42A62DBE" w:rsidR="003620EA" w:rsidRPr="003620EA" w:rsidRDefault="00084D45" w:rsidP="00F85279">
      <w:pPr>
        <w:pStyle w:val="ListParagraph"/>
        <w:numPr>
          <w:ilvl w:val="0"/>
          <w:numId w:val="23"/>
        </w:numPr>
        <w:ind w:left="426"/>
        <w:rPr>
          <w:color w:val="2D7E7D" w:themeColor="accent6" w:themeShade="BF"/>
        </w:rPr>
      </w:pPr>
      <w:r>
        <w:rPr>
          <w:color w:val="000000"/>
        </w:rPr>
        <w:t xml:space="preserve">Justice Connect </w:t>
      </w:r>
      <w:hyperlink r:id="rId13" w:history="1">
        <w:r w:rsidRPr="00084D45">
          <w:rPr>
            <w:rStyle w:val="Hyperlink"/>
            <w:color w:val="2D7E7D" w:themeColor="accent6" w:themeShade="BF"/>
          </w:rPr>
          <w:t>Bringing On a New Board Member</w:t>
        </w:r>
      </w:hyperlink>
      <w:r>
        <w:rPr>
          <w:color w:val="000000"/>
        </w:rPr>
        <w:t>.</w:t>
      </w:r>
    </w:p>
    <w:p w14:paraId="5B643553" w14:textId="5896F3EB" w:rsidR="0078203E" w:rsidRPr="00613576" w:rsidRDefault="0078203E" w:rsidP="00F85279">
      <w:pPr>
        <w:pStyle w:val="ListParagraph"/>
        <w:numPr>
          <w:ilvl w:val="0"/>
          <w:numId w:val="23"/>
        </w:numPr>
        <w:ind w:left="426"/>
        <w:rPr>
          <w:color w:val="2D7E7D" w:themeColor="accent6" w:themeShade="BF"/>
        </w:rPr>
      </w:pPr>
      <w:r>
        <w:t xml:space="preserve">Justice Connect </w:t>
      </w:r>
      <w:hyperlink r:id="rId14" w:history="1">
        <w:r w:rsidRPr="0078203E">
          <w:rPr>
            <w:rStyle w:val="Hyperlink"/>
            <w:color w:val="2D7E7D" w:themeColor="accent6" w:themeShade="BF"/>
          </w:rPr>
          <w:t>New to a Board or Committee? An Introduction to Your Role</w:t>
        </w:r>
      </w:hyperlink>
      <w:r>
        <w:t>.</w:t>
      </w:r>
    </w:p>
    <w:p w14:paraId="545BBA6C" w14:textId="4C324AD8" w:rsidR="00613576" w:rsidRDefault="00613576" w:rsidP="00F85279">
      <w:pPr>
        <w:pStyle w:val="ListParagraph"/>
        <w:numPr>
          <w:ilvl w:val="0"/>
          <w:numId w:val="23"/>
        </w:numPr>
        <w:ind w:left="426"/>
      </w:pPr>
      <w:r>
        <w:t xml:space="preserve">QCOSS </w:t>
      </w:r>
      <w:hyperlink r:id="rId15" w:history="1">
        <w:r w:rsidRPr="0078203E">
          <w:rPr>
            <w:rStyle w:val="Hyperlink"/>
            <w:color w:val="2D7E7D" w:themeColor="accent6" w:themeShade="BF"/>
          </w:rPr>
          <w:t>Governance</w:t>
        </w:r>
      </w:hyperlink>
      <w:r w:rsidR="0078203E" w:rsidRPr="0078203E">
        <w:rPr>
          <w:color w:val="000000"/>
        </w:rPr>
        <w:t>.</w:t>
      </w:r>
    </w:p>
    <w:p w14:paraId="4CA5632D" w14:textId="061E52D0" w:rsidR="00425EB3" w:rsidRPr="00700CA9" w:rsidRDefault="00425EB3" w:rsidP="003D030A">
      <w:r w:rsidRPr="00700CA9">
        <w:t xml:space="preserve">Before submitting this </w:t>
      </w:r>
      <w:r w:rsidR="00524176" w:rsidRPr="00700CA9">
        <w:t xml:space="preserve">document </w:t>
      </w:r>
      <w:r w:rsidRPr="00700CA9">
        <w:t xml:space="preserve">for approval, check that you have completed the following: </w:t>
      </w:r>
    </w:p>
    <w:p w14:paraId="40779AF2" w14:textId="64113BCE" w:rsidR="009F5DF4" w:rsidRPr="00700CA9" w:rsidRDefault="009E1774" w:rsidP="00F85279">
      <w:pPr>
        <w:ind w:left="426" w:hanging="425"/>
      </w:pPr>
      <w:sdt>
        <w:sdtPr>
          <w:id w:val="2078472470"/>
          <w14:checkbox>
            <w14:checked w14:val="0"/>
            <w14:checkedState w14:val="2612" w14:font="MS Gothic"/>
            <w14:uncheckedState w14:val="2610" w14:font="MS Gothic"/>
          </w14:checkbox>
        </w:sdtPr>
        <w:sdtEndPr/>
        <w:sdtContent>
          <w:r w:rsidR="009F5DF4" w:rsidRPr="00700CA9">
            <w:rPr>
              <w:rFonts w:ascii="MS Gothic" w:eastAsia="MS Gothic" w:hAnsi="MS Gothic" w:hint="eastAsia"/>
            </w:rPr>
            <w:t>☐</w:t>
          </w:r>
        </w:sdtContent>
      </w:sdt>
      <w:r w:rsidR="009F5DF4" w:rsidRPr="00700CA9">
        <w:tab/>
      </w:r>
      <w:r w:rsidR="00425EB3" w:rsidRPr="00700CA9">
        <w:t xml:space="preserve">Read the </w:t>
      </w:r>
      <w:r w:rsidR="00DA05C9" w:rsidRPr="00700CA9">
        <w:t>current</w:t>
      </w:r>
      <w:r w:rsidR="006C47BE" w:rsidRPr="00700CA9">
        <w:rPr>
          <w:rStyle w:val="FootnoteReference"/>
          <w:rFonts w:asciiTheme="majorHAnsi" w:eastAsia="Times New Roman" w:hAnsiTheme="majorHAnsi" w:cstheme="majorHAnsi"/>
          <w:sz w:val="16"/>
          <w:szCs w:val="16"/>
        </w:rPr>
        <w:footnoteReference w:id="2"/>
      </w:r>
      <w:r w:rsidR="00DA05C9" w:rsidRPr="00700CA9">
        <w:t xml:space="preserve"> </w:t>
      </w:r>
      <w:r w:rsidR="00425EB3" w:rsidRPr="00700CA9">
        <w:t>HSQF Framework</w:t>
      </w:r>
      <w:r w:rsidR="00AD732C" w:rsidRPr="00700CA9">
        <w:t xml:space="preserve"> Version</w:t>
      </w:r>
      <w:r w:rsidR="00D27259" w:rsidRPr="00700CA9">
        <w:t>.</w:t>
      </w:r>
    </w:p>
    <w:p w14:paraId="589C1D2F" w14:textId="4C259023" w:rsidR="009F5DF4" w:rsidRPr="00700CA9" w:rsidRDefault="009E1774" w:rsidP="00F85279">
      <w:pPr>
        <w:ind w:left="426" w:hanging="425"/>
      </w:pPr>
      <w:sdt>
        <w:sdtPr>
          <w:id w:val="2089721565"/>
          <w14:checkbox>
            <w14:checked w14:val="0"/>
            <w14:checkedState w14:val="2612" w14:font="MS Gothic"/>
            <w14:uncheckedState w14:val="2610" w14:font="MS Gothic"/>
          </w14:checkbox>
        </w:sdtPr>
        <w:sdtEndPr/>
        <w:sdtContent>
          <w:r w:rsidR="009F5DF4" w:rsidRPr="00700CA9">
            <w:rPr>
              <w:rFonts w:ascii="MS Gothic" w:eastAsia="MS Gothic" w:hAnsi="MS Gothic" w:hint="eastAsia"/>
            </w:rPr>
            <w:t>☐</w:t>
          </w:r>
        </w:sdtContent>
      </w:sdt>
      <w:r w:rsidR="009F5DF4" w:rsidRPr="00700CA9">
        <w:tab/>
      </w:r>
      <w:r w:rsidR="00425EB3" w:rsidRPr="00700CA9">
        <w:t xml:space="preserve">Read the </w:t>
      </w:r>
      <w:r w:rsidR="006C47BE" w:rsidRPr="00700CA9">
        <w:t xml:space="preserve">current </w:t>
      </w:r>
      <w:r w:rsidR="00425EB3" w:rsidRPr="00700CA9">
        <w:t xml:space="preserve">HSQF User guide </w:t>
      </w:r>
      <w:r w:rsidR="00D27259" w:rsidRPr="00700CA9">
        <w:t>–</w:t>
      </w:r>
      <w:r w:rsidR="00425EB3" w:rsidRPr="00700CA9">
        <w:t xml:space="preserve"> Certification</w:t>
      </w:r>
      <w:r w:rsidR="00D27259" w:rsidRPr="00700CA9">
        <w:t xml:space="preserve"> </w:t>
      </w:r>
      <w:r w:rsidR="00425EB3" w:rsidRPr="00700CA9">
        <w:t>or</w:t>
      </w:r>
      <w:r w:rsidR="00D27259" w:rsidRPr="00700CA9">
        <w:t xml:space="preserve"> HSQF</w:t>
      </w:r>
      <w:r w:rsidR="00425EB3" w:rsidRPr="00700CA9">
        <w:t xml:space="preserve"> User Guide – Self-Assessable</w:t>
      </w:r>
      <w:r w:rsidR="00D27259" w:rsidRPr="00700CA9">
        <w:t xml:space="preserve"> (as appropriate to your </w:t>
      </w:r>
      <w:r w:rsidR="00425EB3" w:rsidRPr="00700CA9">
        <w:t>service agreement and organisation</w:t>
      </w:r>
      <w:r w:rsidR="00D27259" w:rsidRPr="00700CA9">
        <w:t>).</w:t>
      </w:r>
    </w:p>
    <w:p w14:paraId="69B91176" w14:textId="15911F85" w:rsidR="009F5DF4" w:rsidRPr="00700CA9" w:rsidRDefault="009E1774" w:rsidP="00F85279">
      <w:pPr>
        <w:ind w:left="426" w:hanging="425"/>
      </w:pPr>
      <w:sdt>
        <w:sdtPr>
          <w:id w:val="-1193917366"/>
          <w14:checkbox>
            <w14:checked w14:val="0"/>
            <w14:checkedState w14:val="2612" w14:font="MS Gothic"/>
            <w14:uncheckedState w14:val="2610" w14:font="MS Gothic"/>
          </w14:checkbox>
        </w:sdtPr>
        <w:sdtEndPr/>
        <w:sdtContent>
          <w:r w:rsidR="009F5DF4" w:rsidRPr="00700CA9">
            <w:rPr>
              <w:rFonts w:ascii="MS Gothic" w:eastAsia="MS Gothic" w:hAnsi="MS Gothic" w:hint="eastAsia"/>
            </w:rPr>
            <w:t>☐</w:t>
          </w:r>
        </w:sdtContent>
      </w:sdt>
      <w:r w:rsidR="009F5DF4" w:rsidRPr="00700CA9">
        <w:tab/>
      </w:r>
      <w:r w:rsidR="00CF4B72" w:rsidRPr="00700CA9">
        <w:t xml:space="preserve">Checked </w:t>
      </w:r>
      <w:r w:rsidR="00425EB3" w:rsidRPr="00700CA9">
        <w:t>the most recent HSQF Version Control Register and Log of Changes</w:t>
      </w:r>
      <w:r w:rsidR="00CF4B72" w:rsidRPr="00700CA9">
        <w:t xml:space="preserve"> and included any relevant changes in your policy draft.</w:t>
      </w:r>
    </w:p>
    <w:p w14:paraId="73C46B52" w14:textId="523A1E3C" w:rsidR="009F5DF4" w:rsidRDefault="009E1774" w:rsidP="00F85279">
      <w:pPr>
        <w:ind w:left="426" w:hanging="425"/>
      </w:pPr>
      <w:sdt>
        <w:sdtPr>
          <w:id w:val="-1478760032"/>
          <w14:checkbox>
            <w14:checked w14:val="0"/>
            <w14:checkedState w14:val="2612" w14:font="MS Gothic"/>
            <w14:uncheckedState w14:val="2610" w14:font="MS Gothic"/>
          </w14:checkbox>
        </w:sdtPr>
        <w:sdtEndPr/>
        <w:sdtContent>
          <w:r w:rsidR="00FE365A">
            <w:rPr>
              <w:rFonts w:ascii="MS Gothic" w:eastAsia="MS Gothic" w:hAnsi="MS Gothic" w:hint="eastAsia"/>
            </w:rPr>
            <w:t>☐</w:t>
          </w:r>
        </w:sdtContent>
      </w:sdt>
      <w:r w:rsidR="009F5DF4" w:rsidRPr="00700CA9">
        <w:tab/>
      </w:r>
      <w:r w:rsidR="001C3B0A" w:rsidRPr="00700CA9">
        <w:t xml:space="preserve">Included </w:t>
      </w:r>
      <w:r w:rsidR="00425EB3" w:rsidRPr="00700CA9">
        <w:t>the document code</w:t>
      </w:r>
      <w:r w:rsidR="00F537F2" w:rsidRPr="00700CA9">
        <w:t>/version number in accordance with your organisation’s version control procedure.</w:t>
      </w:r>
    </w:p>
    <w:p w14:paraId="174C75A9" w14:textId="77777777" w:rsidR="00030C04" w:rsidRDefault="009E1774" w:rsidP="00F85279">
      <w:pPr>
        <w:ind w:left="426" w:hanging="425"/>
      </w:pPr>
      <w:sdt>
        <w:sdtPr>
          <w:id w:val="1453976706"/>
          <w14:checkbox>
            <w14:checked w14:val="0"/>
            <w14:checkedState w14:val="2612" w14:font="MS Gothic"/>
            <w14:uncheckedState w14:val="2610" w14:font="MS Gothic"/>
          </w14:checkbox>
        </w:sdtPr>
        <w:sdtEndPr/>
        <w:sdtContent>
          <w:r w:rsidR="006459E6" w:rsidRPr="00700CA9">
            <w:rPr>
              <w:rFonts w:ascii="MS Gothic" w:eastAsia="MS Gothic" w:hAnsi="MS Gothic" w:hint="eastAsia"/>
            </w:rPr>
            <w:t>☐</w:t>
          </w:r>
        </w:sdtContent>
      </w:sdt>
      <w:r w:rsidR="006459E6" w:rsidRPr="00700CA9">
        <w:tab/>
      </w:r>
      <w:r w:rsidR="006459E6">
        <w:t xml:space="preserve"> Replaced all reference to </w:t>
      </w:r>
      <w:r w:rsidR="006459E6" w:rsidRPr="002C2172">
        <w:rPr>
          <w:highlight w:val="yellow"/>
        </w:rPr>
        <w:t>organisation</w:t>
      </w:r>
      <w:r w:rsidR="006459E6">
        <w:t xml:space="preserve"> with your organisation name.</w:t>
      </w:r>
    </w:p>
    <w:p w14:paraId="0184F966" w14:textId="038EC5F2" w:rsidR="00030C04" w:rsidRPr="00700CA9" w:rsidRDefault="009E1774" w:rsidP="00F85279">
      <w:pPr>
        <w:ind w:left="426" w:hanging="425"/>
      </w:pPr>
      <w:sdt>
        <w:sdtPr>
          <w:id w:val="-1582370741"/>
          <w14:checkbox>
            <w14:checked w14:val="0"/>
            <w14:checkedState w14:val="2612" w14:font="MS Gothic"/>
            <w14:uncheckedState w14:val="2610" w14:font="MS Gothic"/>
          </w14:checkbox>
        </w:sdtPr>
        <w:sdtEndPr/>
        <w:sdtContent>
          <w:r w:rsidR="00030C04" w:rsidRPr="00700CA9">
            <w:rPr>
              <w:rFonts w:ascii="MS Gothic" w:eastAsia="MS Gothic" w:hAnsi="MS Gothic" w:hint="eastAsia"/>
            </w:rPr>
            <w:t>☐</w:t>
          </w:r>
        </w:sdtContent>
      </w:sdt>
      <w:r w:rsidR="00030C04" w:rsidRPr="00700CA9">
        <w:tab/>
        <w:t xml:space="preserve">Customised or deleted (as appropriate) all </w:t>
      </w:r>
      <w:r w:rsidR="00030C04" w:rsidRPr="00030C04">
        <w:rPr>
          <w:highlight w:val="yellow"/>
        </w:rPr>
        <w:t>yellow highlighted sections</w:t>
      </w:r>
      <w:r w:rsidR="00030C04" w:rsidRPr="00700CA9">
        <w:t>.</w:t>
      </w:r>
    </w:p>
    <w:p w14:paraId="6BEDB471" w14:textId="021984FA" w:rsidR="006459E6" w:rsidRPr="00700CA9" w:rsidRDefault="009E1774" w:rsidP="00F85279">
      <w:pPr>
        <w:ind w:left="426" w:hanging="425"/>
      </w:pPr>
      <w:sdt>
        <w:sdtPr>
          <w:id w:val="1324084798"/>
          <w14:checkbox>
            <w14:checked w14:val="0"/>
            <w14:checkedState w14:val="2612" w14:font="MS Gothic"/>
            <w14:uncheckedState w14:val="2610" w14:font="MS Gothic"/>
          </w14:checkbox>
        </w:sdtPr>
        <w:sdtEndPr/>
        <w:sdtContent>
          <w:r w:rsidR="00030C04" w:rsidRPr="00700CA9">
            <w:rPr>
              <w:rFonts w:ascii="MS Gothic" w:eastAsia="MS Gothic" w:hAnsi="MS Gothic" w:hint="eastAsia"/>
            </w:rPr>
            <w:t>☐</w:t>
          </w:r>
        </w:sdtContent>
      </w:sdt>
      <w:r w:rsidR="00030C04" w:rsidRPr="00700CA9">
        <w:tab/>
      </w:r>
      <w:r w:rsidR="00030C04">
        <w:t xml:space="preserve">Drafted content for or deleted (as appropriate) all </w:t>
      </w:r>
      <w:r w:rsidR="00030C04" w:rsidRPr="00030C04">
        <w:rPr>
          <w:highlight w:val="green"/>
        </w:rPr>
        <w:t>green highlighted sections</w:t>
      </w:r>
      <w:r w:rsidR="00030C04">
        <w:t>.</w:t>
      </w:r>
    </w:p>
    <w:p w14:paraId="5F112331" w14:textId="763102B0" w:rsidR="00A543A5" w:rsidRPr="00700CA9" w:rsidRDefault="009E1774" w:rsidP="00F85279">
      <w:pPr>
        <w:ind w:left="426" w:hanging="425"/>
      </w:pPr>
      <w:sdt>
        <w:sdtPr>
          <w:id w:val="1593817301"/>
          <w14:checkbox>
            <w14:checked w14:val="0"/>
            <w14:checkedState w14:val="2612" w14:font="MS Gothic"/>
            <w14:uncheckedState w14:val="2610" w14:font="MS Gothic"/>
          </w14:checkbox>
        </w:sdtPr>
        <w:sdtEndPr/>
        <w:sdtContent>
          <w:r w:rsidR="00A543A5" w:rsidRPr="00700CA9">
            <w:rPr>
              <w:rFonts w:ascii="MS Gothic" w:eastAsia="MS Gothic" w:hAnsi="MS Gothic" w:hint="eastAsia"/>
            </w:rPr>
            <w:t>☐</w:t>
          </w:r>
        </w:sdtContent>
      </w:sdt>
      <w:r w:rsidR="00A543A5" w:rsidRPr="00700CA9">
        <w:tab/>
        <w:t xml:space="preserve">Customised the </w:t>
      </w:r>
      <w:r w:rsidR="00F750E3" w:rsidRPr="00700CA9">
        <w:t>Relevant Legislation and Standards</w:t>
      </w:r>
      <w:r w:rsidR="004524CF">
        <w:t xml:space="preserve">, </w:t>
      </w:r>
      <w:r w:rsidR="004524CF" w:rsidRPr="00700CA9">
        <w:t>Related Policies and Procedures</w:t>
      </w:r>
      <w:r w:rsidR="004524CF">
        <w:t xml:space="preserve"> and Supporting Documents</w:t>
      </w:r>
      <w:r w:rsidR="00F750E3" w:rsidRPr="00700CA9">
        <w:t xml:space="preserve"> list</w:t>
      </w:r>
      <w:r w:rsidR="004524CF">
        <w:t>s</w:t>
      </w:r>
      <w:r w:rsidR="00F750E3" w:rsidRPr="00700CA9">
        <w:t>.</w:t>
      </w:r>
    </w:p>
    <w:p w14:paraId="70831CF9" w14:textId="1045FCB4" w:rsidR="009F5DF4" w:rsidRPr="00700CA9" w:rsidRDefault="009E1774" w:rsidP="00F85279">
      <w:pPr>
        <w:ind w:left="426" w:hanging="425"/>
      </w:pPr>
      <w:sdt>
        <w:sdtPr>
          <w:id w:val="-1565794623"/>
          <w14:checkbox>
            <w14:checked w14:val="0"/>
            <w14:checkedState w14:val="2612" w14:font="MS Gothic"/>
            <w14:uncheckedState w14:val="2610" w14:font="MS Gothic"/>
          </w14:checkbox>
        </w:sdtPr>
        <w:sdtEndPr/>
        <w:sdtContent>
          <w:r w:rsidR="009F5DF4" w:rsidRPr="00700CA9">
            <w:rPr>
              <w:rFonts w:ascii="MS Gothic" w:eastAsia="MS Gothic" w:hAnsi="MS Gothic" w:hint="eastAsia"/>
            </w:rPr>
            <w:t>☐</w:t>
          </w:r>
        </w:sdtContent>
      </w:sdt>
      <w:r w:rsidR="009F5DF4" w:rsidRPr="00700CA9">
        <w:tab/>
      </w:r>
      <w:r w:rsidR="001C3B0A" w:rsidRPr="00700CA9">
        <w:t xml:space="preserve">Customised </w:t>
      </w:r>
      <w:r w:rsidR="00425EB3" w:rsidRPr="00700CA9">
        <w:t>the supporting documents section (where relevant)</w:t>
      </w:r>
      <w:r w:rsidR="001C3B0A" w:rsidRPr="00700CA9">
        <w:t>.</w:t>
      </w:r>
    </w:p>
    <w:p w14:paraId="528E7A99" w14:textId="277B406E" w:rsidR="009F5DF4" w:rsidRPr="00700CA9" w:rsidRDefault="009E1774" w:rsidP="00F85279">
      <w:pPr>
        <w:ind w:left="426" w:hanging="425"/>
      </w:pPr>
      <w:sdt>
        <w:sdtPr>
          <w:id w:val="-503908806"/>
          <w14:checkbox>
            <w14:checked w14:val="0"/>
            <w14:checkedState w14:val="2612" w14:font="MS Gothic"/>
            <w14:uncheckedState w14:val="2610" w14:font="MS Gothic"/>
          </w14:checkbox>
        </w:sdtPr>
        <w:sdtEndPr/>
        <w:sdtContent>
          <w:r w:rsidR="009F5DF4" w:rsidRPr="00700CA9">
            <w:rPr>
              <w:rFonts w:ascii="MS Gothic" w:eastAsia="MS Gothic" w:hAnsi="MS Gothic" w:hint="eastAsia"/>
            </w:rPr>
            <w:t>☐</w:t>
          </w:r>
        </w:sdtContent>
      </w:sdt>
      <w:r w:rsidR="009F5DF4" w:rsidRPr="00700CA9">
        <w:tab/>
      </w:r>
      <w:r w:rsidR="00425EB3" w:rsidRPr="00700CA9">
        <w:t>Updated the header and footer</w:t>
      </w:r>
      <w:r w:rsidR="001C3B0A" w:rsidRPr="00700CA9">
        <w:t xml:space="preserve"> to reflect </w:t>
      </w:r>
      <w:r w:rsidR="003B6D28" w:rsidRPr="00700CA9">
        <w:t xml:space="preserve">the document name, </w:t>
      </w:r>
      <w:proofErr w:type="gramStart"/>
      <w:r w:rsidR="003B6D28" w:rsidRPr="00700CA9">
        <w:t>version</w:t>
      </w:r>
      <w:proofErr w:type="gramEnd"/>
      <w:r w:rsidR="003B6D28" w:rsidRPr="00700CA9">
        <w:t xml:space="preserve"> and other relevant details for your organisation.</w:t>
      </w:r>
    </w:p>
    <w:p w14:paraId="52B2F1CB" w14:textId="3E6380F8" w:rsidR="009F5DF4" w:rsidRPr="00700CA9" w:rsidRDefault="009E1774" w:rsidP="00F85279">
      <w:pPr>
        <w:ind w:left="426" w:hanging="425"/>
      </w:pPr>
      <w:sdt>
        <w:sdtPr>
          <w:id w:val="1635680364"/>
          <w14:checkbox>
            <w14:checked w14:val="0"/>
            <w14:checkedState w14:val="2612" w14:font="MS Gothic"/>
            <w14:uncheckedState w14:val="2610" w14:font="MS Gothic"/>
          </w14:checkbox>
        </w:sdtPr>
        <w:sdtEndPr/>
        <w:sdtContent>
          <w:r w:rsidR="009F5DF4" w:rsidRPr="00700CA9">
            <w:rPr>
              <w:rFonts w:ascii="MS Gothic" w:eastAsia="MS Gothic" w:hAnsi="MS Gothic" w:hint="eastAsia"/>
            </w:rPr>
            <w:t>☐</w:t>
          </w:r>
        </w:sdtContent>
      </w:sdt>
      <w:r w:rsidR="009F5DF4" w:rsidRPr="00700CA9">
        <w:tab/>
      </w:r>
      <w:r w:rsidR="00425EB3" w:rsidRPr="00700CA9">
        <w:t>Added a review date</w:t>
      </w:r>
      <w:r w:rsidR="003B6D28" w:rsidRPr="00700CA9">
        <w:t>.</w:t>
      </w:r>
    </w:p>
    <w:p w14:paraId="6E42B66F" w14:textId="75396B16" w:rsidR="00425EB3" w:rsidRDefault="009E1774" w:rsidP="00F85279">
      <w:pPr>
        <w:ind w:left="426" w:hanging="425"/>
      </w:pPr>
      <w:sdt>
        <w:sdtPr>
          <w:id w:val="1810204252"/>
          <w14:checkbox>
            <w14:checked w14:val="0"/>
            <w14:checkedState w14:val="2612" w14:font="MS Gothic"/>
            <w14:uncheckedState w14:val="2610" w14:font="MS Gothic"/>
          </w14:checkbox>
        </w:sdtPr>
        <w:sdtEndPr/>
        <w:sdtContent>
          <w:r w:rsidR="009F5DF4" w:rsidRPr="00700CA9">
            <w:rPr>
              <w:rFonts w:ascii="MS Gothic" w:eastAsia="MS Gothic" w:hAnsi="MS Gothic" w:hint="eastAsia"/>
            </w:rPr>
            <w:t>☐</w:t>
          </w:r>
        </w:sdtContent>
      </w:sdt>
      <w:r w:rsidR="009F5DF4" w:rsidRPr="00700CA9">
        <w:tab/>
      </w:r>
      <w:r w:rsidR="00425EB3" w:rsidRPr="00700CA9">
        <w:t xml:space="preserve">Logged any changes </w:t>
      </w:r>
      <w:r w:rsidR="003B6D28" w:rsidRPr="00700CA9">
        <w:t>to policies/procedures in your organisation’s Policies and Procedures Register.</w:t>
      </w:r>
    </w:p>
    <w:p w14:paraId="7947C057" w14:textId="26AA1665" w:rsidR="0060647B" w:rsidRPr="00700CA9" w:rsidRDefault="009E1774" w:rsidP="00F85279">
      <w:pPr>
        <w:ind w:left="426" w:hanging="425"/>
      </w:pPr>
      <w:sdt>
        <w:sdtPr>
          <w:id w:val="226341137"/>
          <w14:checkbox>
            <w14:checked w14:val="0"/>
            <w14:checkedState w14:val="2612" w14:font="MS Gothic"/>
            <w14:uncheckedState w14:val="2610" w14:font="MS Gothic"/>
          </w14:checkbox>
        </w:sdtPr>
        <w:sdtEndPr/>
        <w:sdtContent>
          <w:r w:rsidR="0060647B" w:rsidRPr="00700CA9">
            <w:rPr>
              <w:rFonts w:ascii="MS Gothic" w:eastAsia="MS Gothic" w:hAnsi="MS Gothic" w:hint="eastAsia"/>
            </w:rPr>
            <w:t>☐</w:t>
          </w:r>
        </w:sdtContent>
      </w:sdt>
      <w:r w:rsidR="0060647B" w:rsidRPr="00700CA9">
        <w:tab/>
      </w:r>
      <w:r w:rsidR="0060647B">
        <w:t>Deleted all footnotes.</w:t>
      </w:r>
    </w:p>
    <w:p w14:paraId="105DB5AA" w14:textId="42D2F531" w:rsidR="00425EB3" w:rsidRPr="00700CA9" w:rsidRDefault="009E1774" w:rsidP="00F85279">
      <w:pPr>
        <w:ind w:left="426" w:hanging="425"/>
      </w:pPr>
      <w:sdt>
        <w:sdtPr>
          <w:id w:val="-1377150468"/>
          <w14:checkbox>
            <w14:checked w14:val="0"/>
            <w14:checkedState w14:val="2612" w14:font="MS Gothic"/>
            <w14:uncheckedState w14:val="2610" w14:font="MS Gothic"/>
          </w14:checkbox>
        </w:sdtPr>
        <w:sdtEndPr/>
        <w:sdtContent>
          <w:r w:rsidR="009F5DF4" w:rsidRPr="00700CA9">
            <w:rPr>
              <w:rFonts w:ascii="MS Gothic" w:eastAsia="MS Gothic" w:hAnsi="MS Gothic" w:hint="eastAsia"/>
            </w:rPr>
            <w:t>☐</w:t>
          </w:r>
        </w:sdtContent>
      </w:sdt>
      <w:r w:rsidR="00060394">
        <w:tab/>
      </w:r>
      <w:r w:rsidR="00425EB3" w:rsidRPr="00700CA9">
        <w:t>Removed QCOSS branding and replace</w:t>
      </w:r>
      <w:r w:rsidR="003411FB">
        <w:t>d it</w:t>
      </w:r>
      <w:r w:rsidR="00425EB3" w:rsidRPr="00700CA9">
        <w:t xml:space="preserve"> with your organisation’s</w:t>
      </w:r>
      <w:r w:rsidR="003B6D28" w:rsidRPr="00700CA9">
        <w:t xml:space="preserve"> branding.</w:t>
      </w:r>
    </w:p>
    <w:p w14:paraId="54B778D4" w14:textId="4ECEB39E" w:rsidR="0022039C" w:rsidRPr="00700CA9" w:rsidRDefault="00D27259" w:rsidP="003D030A">
      <w:r w:rsidRPr="00700CA9">
        <w:rPr>
          <w:b/>
          <w:u w:val="single"/>
        </w:rPr>
        <w:lastRenderedPageBreak/>
        <w:t>Delete</w:t>
      </w:r>
      <w:r w:rsidRPr="00700CA9">
        <w:rPr>
          <w:b/>
        </w:rPr>
        <w:t xml:space="preserve"> </w:t>
      </w:r>
      <w:r w:rsidRPr="00700CA9">
        <w:t xml:space="preserve">this </w:t>
      </w:r>
      <w:r w:rsidR="00277E8A">
        <w:t xml:space="preserve">page </w:t>
      </w:r>
      <w:r w:rsidRPr="00700CA9">
        <w:t xml:space="preserve">once your </w:t>
      </w:r>
      <w:r w:rsidRPr="00267AAC">
        <w:rPr>
          <w:i/>
          <w:iCs/>
        </w:rPr>
        <w:t>Governance Policy and Procedur</w:t>
      </w:r>
      <w:r w:rsidR="00267AAC">
        <w:rPr>
          <w:i/>
          <w:iCs/>
        </w:rPr>
        <w:t>es</w:t>
      </w:r>
      <w:r w:rsidRPr="00700CA9">
        <w:t xml:space="preserve"> has been approved and finalised</w:t>
      </w:r>
      <w:r w:rsidR="0060647B">
        <w:t>.</w:t>
      </w:r>
    </w:p>
    <w:p w14:paraId="1DA3361C" w14:textId="1F48CB12" w:rsidR="0022039C" w:rsidRPr="00700CA9" w:rsidRDefault="0022039C" w:rsidP="003D030A">
      <w:pPr>
        <w:pStyle w:val="Title"/>
        <w:rPr>
          <w:rFonts w:eastAsia="Muli"/>
        </w:rPr>
      </w:pPr>
      <w:r w:rsidRPr="00700CA9">
        <w:rPr>
          <w:rFonts w:eastAsia="Muli"/>
        </w:rPr>
        <w:t>Governance Policy and Procedure</w:t>
      </w:r>
      <w:r w:rsidR="004B546F">
        <w:rPr>
          <w:rFonts w:eastAsia="Muli"/>
        </w:rPr>
        <w:t>s</w:t>
      </w:r>
    </w:p>
    <w:p w14:paraId="195F8287" w14:textId="77777777" w:rsidR="0022039C" w:rsidRPr="00700CA9" w:rsidRDefault="0022039C" w:rsidP="003D030A">
      <w:pPr>
        <w:pStyle w:val="Heading4"/>
        <w:rPr>
          <w:rFonts w:eastAsia="Muli"/>
        </w:rPr>
      </w:pPr>
      <w:bookmarkStart w:id="1" w:name="_heading=h.gjdgxs"/>
      <w:bookmarkEnd w:id="1"/>
      <w:r w:rsidRPr="002C2172">
        <w:rPr>
          <w:rFonts w:eastAsia="Muli"/>
          <w:highlight w:val="yellow"/>
        </w:rPr>
        <w:t>Document Code / Version Number</w:t>
      </w:r>
    </w:p>
    <w:p w14:paraId="001F2AEC" w14:textId="77777777" w:rsidR="0022039C" w:rsidRPr="00700CA9" w:rsidRDefault="0022039C" w:rsidP="003D030A">
      <w:pPr>
        <w:pStyle w:val="Heading1"/>
        <w:rPr>
          <w:rFonts w:eastAsia="Muli"/>
        </w:rPr>
      </w:pPr>
      <w:r w:rsidRPr="00700CA9">
        <w:rPr>
          <w:rFonts w:eastAsia="Muli"/>
        </w:rPr>
        <w:t>Policy Statement</w:t>
      </w:r>
    </w:p>
    <w:p w14:paraId="0C3DCACE" w14:textId="1D9C244B" w:rsidR="0022039C" w:rsidRPr="00700CA9" w:rsidRDefault="0022039C" w:rsidP="003D030A">
      <w:r w:rsidRPr="002C2172">
        <w:rPr>
          <w:highlight w:val="yellow"/>
        </w:rPr>
        <w:t>Organisation</w:t>
      </w:r>
      <w:r w:rsidRPr="00700CA9">
        <w:t xml:space="preserve"> documents and implements strong governance and management systems, </w:t>
      </w:r>
      <w:proofErr w:type="gramStart"/>
      <w:r w:rsidRPr="00700CA9">
        <w:t>processes</w:t>
      </w:r>
      <w:proofErr w:type="gramEnd"/>
      <w:r w:rsidRPr="00700CA9">
        <w:t xml:space="preserve"> and practices so that we remain compliant with our internal, legislative</w:t>
      </w:r>
      <w:r w:rsidR="00204719" w:rsidRPr="00700CA9">
        <w:t xml:space="preserve"> </w:t>
      </w:r>
      <w:r w:rsidRPr="00700CA9">
        <w:t xml:space="preserve">and contractual requirements. </w:t>
      </w:r>
      <w:r w:rsidR="00204719" w:rsidRPr="00700CA9">
        <w:t xml:space="preserve">We are committed </w:t>
      </w:r>
      <w:r w:rsidRPr="00700CA9">
        <w:t xml:space="preserve">to organisational structure, systems, and processes </w:t>
      </w:r>
      <w:r w:rsidR="00204719" w:rsidRPr="00700CA9">
        <w:t xml:space="preserve">that </w:t>
      </w:r>
      <w:r w:rsidRPr="00700CA9">
        <w:t xml:space="preserve">enable us to provide sustainable, </w:t>
      </w:r>
      <w:proofErr w:type="gramStart"/>
      <w:r w:rsidRPr="00700CA9">
        <w:t>effective</w:t>
      </w:r>
      <w:proofErr w:type="gramEnd"/>
      <w:r w:rsidRPr="00700CA9">
        <w:t xml:space="preserve"> and safe services. </w:t>
      </w:r>
    </w:p>
    <w:p w14:paraId="399A0313" w14:textId="77777777" w:rsidR="0022039C" w:rsidRPr="00700CA9" w:rsidRDefault="0022039C" w:rsidP="003D030A">
      <w:pPr>
        <w:pStyle w:val="Heading2"/>
      </w:pPr>
      <w:bookmarkStart w:id="2" w:name="_heading=h.jjs4mz411enl"/>
      <w:bookmarkEnd w:id="2"/>
      <w:r w:rsidRPr="00700CA9">
        <w:t>Scope</w:t>
      </w:r>
    </w:p>
    <w:p w14:paraId="6474B941" w14:textId="66CB3AD0" w:rsidR="0022039C" w:rsidRPr="00700CA9" w:rsidRDefault="0022039C" w:rsidP="003D030A">
      <w:r w:rsidRPr="00700CA9">
        <w:t xml:space="preserve">This </w:t>
      </w:r>
      <w:r w:rsidR="00204719" w:rsidRPr="00700CA9">
        <w:t>p</w:t>
      </w:r>
      <w:r w:rsidRPr="00700CA9">
        <w:t xml:space="preserve">olicy and </w:t>
      </w:r>
      <w:r w:rsidR="00204719" w:rsidRPr="00700CA9">
        <w:t>associated p</w:t>
      </w:r>
      <w:r w:rsidRPr="00700CA9">
        <w:t>rocedure</w:t>
      </w:r>
      <w:r w:rsidR="00204719" w:rsidRPr="00700CA9">
        <w:t>s</w:t>
      </w:r>
      <w:r w:rsidRPr="00700CA9">
        <w:t xml:space="preserve"> apply to </w:t>
      </w:r>
      <w:r w:rsidRPr="002C2172">
        <w:rPr>
          <w:highlight w:val="yellow"/>
        </w:rPr>
        <w:t>Organisation</w:t>
      </w:r>
      <w:r w:rsidRPr="00700CA9">
        <w:t xml:space="preserve"> as a whole, including all</w:t>
      </w:r>
      <w:r w:rsidR="00AB2D4D" w:rsidRPr="00700CA9">
        <w:t xml:space="preserve"> employees, volunteers, and </w:t>
      </w:r>
      <w:r w:rsidR="00AB2D4D" w:rsidRPr="00502F4F">
        <w:t>governance body</w:t>
      </w:r>
      <w:r w:rsidR="00AB2D4D" w:rsidRPr="00700CA9">
        <w:t xml:space="preserve"> members.</w:t>
      </w:r>
    </w:p>
    <w:p w14:paraId="6CF3EC25" w14:textId="4AF0CD0B" w:rsidR="0022039C" w:rsidRPr="00700CA9" w:rsidRDefault="0022039C" w:rsidP="003D030A">
      <w:pPr>
        <w:pStyle w:val="Heading1"/>
        <w:rPr>
          <w:rFonts w:eastAsia="Muli"/>
        </w:rPr>
      </w:pPr>
      <w:r w:rsidRPr="00700CA9">
        <w:rPr>
          <w:rFonts w:eastAsia="Muli"/>
        </w:rPr>
        <w:t>HSQF Related Standards</w:t>
      </w:r>
    </w:p>
    <w:p w14:paraId="64B7391B" w14:textId="77777777" w:rsidR="0022039C" w:rsidRPr="00700CA9" w:rsidRDefault="0022039C" w:rsidP="00F85279">
      <w:pPr>
        <w:pStyle w:val="ListParagraph"/>
        <w:ind w:left="426"/>
      </w:pPr>
      <w:r w:rsidRPr="00700CA9">
        <w:t>Human Services Quality Standard Indicator 1.1</w:t>
      </w:r>
    </w:p>
    <w:p w14:paraId="6416AFC7" w14:textId="77777777" w:rsidR="0022039C" w:rsidRPr="00700CA9" w:rsidRDefault="0022039C" w:rsidP="00F85279">
      <w:pPr>
        <w:pStyle w:val="ListParagraph"/>
        <w:ind w:left="426"/>
      </w:pPr>
      <w:r w:rsidRPr="00700CA9">
        <w:t>Human Services Quality Standard Indicator 1.2</w:t>
      </w:r>
    </w:p>
    <w:p w14:paraId="55BD11F5" w14:textId="77777777" w:rsidR="00BA638E" w:rsidRDefault="0022039C" w:rsidP="00F85279">
      <w:pPr>
        <w:pStyle w:val="ListParagraph"/>
        <w:ind w:left="426"/>
      </w:pPr>
      <w:r w:rsidRPr="00700CA9">
        <w:t>Human Services Quality Standard Indicator 1.3</w:t>
      </w:r>
    </w:p>
    <w:p w14:paraId="2FF7BBDD" w14:textId="187661BB" w:rsidR="00C6225A" w:rsidRPr="00700CA9" w:rsidRDefault="00C6225A" w:rsidP="00F85279">
      <w:pPr>
        <w:pStyle w:val="ListParagraph"/>
        <w:ind w:left="426"/>
      </w:pPr>
      <w:r w:rsidRPr="00700CA9">
        <w:t>Human Services Quality Standard Indicator</w:t>
      </w:r>
      <w:r>
        <w:t xml:space="preserve"> 4.2</w:t>
      </w:r>
    </w:p>
    <w:p w14:paraId="352B2C61" w14:textId="534047C9" w:rsidR="0022039C" w:rsidRPr="00700CA9" w:rsidRDefault="00246F57" w:rsidP="003D030A">
      <w:pPr>
        <w:pStyle w:val="Heading1"/>
        <w:rPr>
          <w:rFonts w:eastAsia="Muli"/>
        </w:rPr>
      </w:pPr>
      <w:bookmarkStart w:id="3" w:name="_heading=h.6i3h5tjj4dgm"/>
      <w:bookmarkEnd w:id="3"/>
      <w:r w:rsidRPr="00700CA9">
        <w:rPr>
          <w:rFonts w:eastAsia="Muli"/>
        </w:rPr>
        <w:t xml:space="preserve">Relevant </w:t>
      </w:r>
      <w:r w:rsidR="0022039C" w:rsidRPr="00700CA9">
        <w:rPr>
          <w:rFonts w:eastAsia="Muli"/>
        </w:rPr>
        <w:t>Legislation</w:t>
      </w:r>
      <w:r w:rsidRPr="00700CA9">
        <w:rPr>
          <w:rFonts w:eastAsia="Muli"/>
        </w:rPr>
        <w:t xml:space="preserve"> and </w:t>
      </w:r>
      <w:r w:rsidR="004B621B" w:rsidRPr="00700CA9">
        <w:rPr>
          <w:rFonts w:eastAsia="Muli"/>
        </w:rPr>
        <w:t>Standard</w:t>
      </w:r>
      <w:r w:rsidRPr="00700CA9">
        <w:rPr>
          <w:rFonts w:eastAsia="Muli"/>
        </w:rPr>
        <w:t>s</w:t>
      </w:r>
    </w:p>
    <w:p w14:paraId="28C16AE5" w14:textId="29B89161" w:rsidR="00EF7941" w:rsidRPr="00700CA9" w:rsidRDefault="00EF7941" w:rsidP="003D030A">
      <w:pPr>
        <w:rPr>
          <w:highlight w:val="yellow"/>
        </w:rPr>
      </w:pPr>
      <w:r w:rsidRPr="00700CA9">
        <w:rPr>
          <w:highlight w:val="yellow"/>
        </w:rPr>
        <w:t>To customise/complete the table below:</w:t>
      </w:r>
    </w:p>
    <w:p w14:paraId="343C3406" w14:textId="0E869491" w:rsidR="00EF7941" w:rsidRPr="00700CA9" w:rsidRDefault="00EF7941" w:rsidP="00F85279">
      <w:pPr>
        <w:pStyle w:val="ListParagraph"/>
        <w:numPr>
          <w:ilvl w:val="0"/>
          <w:numId w:val="10"/>
        </w:numPr>
        <w:ind w:left="426"/>
        <w:rPr>
          <w:highlight w:val="yellow"/>
        </w:rPr>
      </w:pPr>
      <w:r w:rsidRPr="00700CA9">
        <w:rPr>
          <w:highlight w:val="yellow"/>
        </w:rPr>
        <w:t>Add any</w:t>
      </w:r>
      <w:r w:rsidR="00103E64" w:rsidRPr="00700CA9">
        <w:rPr>
          <w:highlight w:val="yellow"/>
        </w:rPr>
        <w:t xml:space="preserve"> relevant documents to the </w:t>
      </w:r>
      <w:r w:rsidR="00103E64" w:rsidRPr="00700CA9">
        <w:rPr>
          <w:b/>
          <w:bCs/>
          <w:highlight w:val="yellow"/>
        </w:rPr>
        <w:t>Common</w:t>
      </w:r>
      <w:r w:rsidR="00103E64" w:rsidRPr="00700CA9">
        <w:rPr>
          <w:highlight w:val="yellow"/>
        </w:rPr>
        <w:t xml:space="preserve"> row.</w:t>
      </w:r>
    </w:p>
    <w:p w14:paraId="0FFE9FEE" w14:textId="77777777" w:rsidR="002D5614" w:rsidRPr="00700CA9" w:rsidRDefault="002D5614" w:rsidP="00F85279">
      <w:pPr>
        <w:pStyle w:val="ListParagraph"/>
        <w:numPr>
          <w:ilvl w:val="0"/>
          <w:numId w:val="10"/>
        </w:numPr>
        <w:ind w:left="426"/>
        <w:rPr>
          <w:highlight w:val="yellow"/>
        </w:rPr>
      </w:pPr>
      <w:r w:rsidRPr="00700CA9">
        <w:rPr>
          <w:highlight w:val="yellow"/>
        </w:rPr>
        <w:t>Remove any service delivery rows that are irrelevant to your organisation.</w:t>
      </w:r>
    </w:p>
    <w:p w14:paraId="436F017A" w14:textId="7EE7719D" w:rsidR="00103E64" w:rsidRPr="00700CA9" w:rsidRDefault="00103E64" w:rsidP="00F85279">
      <w:pPr>
        <w:pStyle w:val="ListParagraph"/>
        <w:numPr>
          <w:ilvl w:val="0"/>
          <w:numId w:val="10"/>
        </w:numPr>
        <w:ind w:left="426"/>
        <w:rPr>
          <w:highlight w:val="yellow"/>
        </w:rPr>
      </w:pPr>
      <w:r w:rsidRPr="00700CA9">
        <w:rPr>
          <w:highlight w:val="yellow"/>
        </w:rPr>
        <w:t>Add any relevant documents to the rows for each service type your organisation provides.</w:t>
      </w:r>
    </w:p>
    <w:p w14:paraId="5D4ED4F1" w14:textId="083F6D45" w:rsidR="00103E64" w:rsidRPr="00700CA9" w:rsidRDefault="00103E64" w:rsidP="00F85279">
      <w:pPr>
        <w:pStyle w:val="ListParagraph"/>
        <w:numPr>
          <w:ilvl w:val="0"/>
          <w:numId w:val="10"/>
        </w:numPr>
        <w:ind w:left="426"/>
        <w:rPr>
          <w:highlight w:val="yellow"/>
        </w:rPr>
      </w:pPr>
      <w:r w:rsidRPr="00700CA9">
        <w:rPr>
          <w:highlight w:val="yellow"/>
        </w:rPr>
        <w:t xml:space="preserve">Remove any documents </w:t>
      </w:r>
      <w:r w:rsidR="002D5614" w:rsidRPr="00700CA9">
        <w:rPr>
          <w:highlight w:val="yellow"/>
        </w:rPr>
        <w:t xml:space="preserve">listed as </w:t>
      </w:r>
      <w:r w:rsidR="002D5614" w:rsidRPr="00700CA9">
        <w:rPr>
          <w:i/>
          <w:iCs/>
          <w:highlight w:val="yellow"/>
        </w:rPr>
        <w:t>if relevant</w:t>
      </w:r>
      <w:r w:rsidR="002D5614" w:rsidRPr="00700CA9">
        <w:rPr>
          <w:highlight w:val="yellow"/>
        </w:rPr>
        <w:t xml:space="preserve"> from rows you keep if they are </w:t>
      </w:r>
      <w:r w:rsidR="002D5614" w:rsidRPr="00700CA9">
        <w:rPr>
          <w:b/>
          <w:bCs/>
          <w:highlight w:val="yellow"/>
        </w:rPr>
        <w:t>not</w:t>
      </w:r>
      <w:r w:rsidR="002D5614" w:rsidRPr="00700CA9">
        <w:rPr>
          <w:highlight w:val="yellow"/>
        </w:rPr>
        <w:t xml:space="preserve"> relevant to your service.</w:t>
      </w:r>
    </w:p>
    <w:p w14:paraId="5ED084F0" w14:textId="4C69A271" w:rsidR="00217B02" w:rsidRPr="00700CA9" w:rsidRDefault="00217B02" w:rsidP="00F85279">
      <w:pPr>
        <w:pStyle w:val="ListParagraph"/>
        <w:numPr>
          <w:ilvl w:val="0"/>
          <w:numId w:val="10"/>
        </w:numPr>
        <w:ind w:left="426"/>
        <w:rPr>
          <w:highlight w:val="yellow"/>
        </w:rPr>
      </w:pPr>
      <w:r w:rsidRPr="00700CA9">
        <w:rPr>
          <w:highlight w:val="yellow"/>
        </w:rPr>
        <w:t xml:space="preserve">Check </w:t>
      </w:r>
      <w:r w:rsidR="00C92821" w:rsidRPr="00700CA9">
        <w:rPr>
          <w:highlight w:val="yellow"/>
        </w:rPr>
        <w:t>for updates to guidelines, models, etc., and update links as appropriate.</w:t>
      </w:r>
    </w:p>
    <w:tbl>
      <w:tblPr>
        <w:tblStyle w:val="GridTable3"/>
        <w:tblW w:w="9923" w:type="dxa"/>
        <w:tblLayout w:type="fixed"/>
        <w:tblLook w:val="0600" w:firstRow="0" w:lastRow="0" w:firstColumn="0" w:lastColumn="0" w:noHBand="1" w:noVBand="1"/>
      </w:tblPr>
      <w:tblGrid>
        <w:gridCol w:w="2547"/>
        <w:gridCol w:w="7376"/>
      </w:tblGrid>
      <w:tr w:rsidR="0022039C" w:rsidRPr="00700CA9" w14:paraId="09D456A8" w14:textId="77777777" w:rsidTr="00E72051">
        <w:tc>
          <w:tcPr>
            <w:tcW w:w="2547" w:type="dxa"/>
            <w:hideMark/>
          </w:tcPr>
          <w:p w14:paraId="2991A461" w14:textId="77777777" w:rsidR="0022039C" w:rsidRPr="004B5F09" w:rsidRDefault="0022039C" w:rsidP="003D030A">
            <w:pPr>
              <w:spacing w:before="60" w:after="60"/>
              <w:rPr>
                <w:b/>
                <w:bCs/>
              </w:rPr>
            </w:pPr>
            <w:r w:rsidRPr="004B5F09">
              <w:rPr>
                <w:b/>
                <w:bCs/>
              </w:rPr>
              <w:t>Common</w:t>
            </w:r>
            <w:bookmarkStart w:id="4" w:name="_heading=h.6cva7i30w8pc"/>
            <w:bookmarkEnd w:id="4"/>
          </w:p>
          <w:p w14:paraId="54524A06" w14:textId="52D979E3" w:rsidR="009D5E57" w:rsidRPr="00700CA9" w:rsidRDefault="009D5E57" w:rsidP="003D030A">
            <w:pPr>
              <w:spacing w:before="60" w:after="60"/>
            </w:pPr>
            <w:r w:rsidRPr="00700CA9">
              <w:rPr>
                <w:highlight w:val="yellow"/>
              </w:rPr>
              <w:t>Add</w:t>
            </w:r>
            <w:r w:rsidR="00E72051">
              <w:rPr>
                <w:highlight w:val="yellow"/>
              </w:rPr>
              <w:t xml:space="preserve"> to </w:t>
            </w:r>
            <w:r w:rsidRPr="00700CA9">
              <w:rPr>
                <w:highlight w:val="yellow"/>
              </w:rPr>
              <w:t>list as appropriate</w:t>
            </w:r>
          </w:p>
        </w:tc>
        <w:tc>
          <w:tcPr>
            <w:tcW w:w="7376" w:type="dxa"/>
            <w:hideMark/>
          </w:tcPr>
          <w:p w14:paraId="0C905376" w14:textId="4969C4B9" w:rsidR="00B164CA" w:rsidRPr="001814C7" w:rsidRDefault="009E1774" w:rsidP="003D030A">
            <w:pPr>
              <w:pStyle w:val="Table"/>
              <w:spacing w:before="60" w:after="60"/>
              <w:rPr>
                <w:color w:val="2D7E7D" w:themeColor="accent6" w:themeShade="BF"/>
              </w:rPr>
            </w:pPr>
            <w:hyperlink r:id="rId16" w:history="1">
              <w:r w:rsidR="00B164CA" w:rsidRPr="004817BF">
                <w:rPr>
                  <w:rStyle w:val="Hyperlink"/>
                  <w:i/>
                  <w:iCs/>
                  <w:color w:val="2D7E7D" w:themeColor="accent6" w:themeShade="BF"/>
                  <w:highlight w:val="yellow"/>
                </w:rPr>
                <w:t>Associations Incorporation Act</w:t>
              </w:r>
              <w:r w:rsidR="00A8783B" w:rsidRPr="004817BF">
                <w:rPr>
                  <w:rStyle w:val="Hyperlink"/>
                  <w:i/>
                  <w:iCs/>
                  <w:color w:val="2D7E7D" w:themeColor="accent6" w:themeShade="BF"/>
                  <w:highlight w:val="yellow"/>
                </w:rPr>
                <w:t xml:space="preserve"> 1981</w:t>
              </w:r>
            </w:hyperlink>
            <w:r w:rsidR="00A8783B" w:rsidRPr="004817BF">
              <w:rPr>
                <w:highlight w:val="yellow"/>
              </w:rPr>
              <w:t xml:space="preserve"> OR </w:t>
            </w:r>
            <w:hyperlink r:id="rId17" w:history="1">
              <w:r w:rsidR="005B77BE" w:rsidRPr="004817BF">
                <w:rPr>
                  <w:rStyle w:val="Hyperlink"/>
                  <w:i/>
                  <w:iCs/>
                  <w:color w:val="2D7E7D" w:themeColor="accent6" w:themeShade="BF"/>
                  <w:highlight w:val="yellow"/>
                </w:rPr>
                <w:t>Corporations Act 2001</w:t>
              </w:r>
            </w:hyperlink>
            <w:r w:rsidR="005B77BE" w:rsidRPr="004817BF">
              <w:rPr>
                <w:highlight w:val="yellow"/>
              </w:rPr>
              <w:t xml:space="preserve"> OR </w:t>
            </w:r>
            <w:hyperlink r:id="rId18" w:history="1">
              <w:r w:rsidR="005B77BE" w:rsidRPr="004817BF">
                <w:rPr>
                  <w:rStyle w:val="Hyperlink"/>
                  <w:i/>
                  <w:iCs/>
                  <w:color w:val="2D7E7D" w:themeColor="accent6" w:themeShade="BF"/>
                  <w:highlight w:val="yellow"/>
                </w:rPr>
                <w:t>Corporations (Aboriginal and Torres Strait Islander) Act 2006</w:t>
              </w:r>
            </w:hyperlink>
          </w:p>
          <w:p w14:paraId="5F68C057" w14:textId="41F26EC5" w:rsidR="00002B17" w:rsidRPr="00700CA9" w:rsidRDefault="009E1774" w:rsidP="003D030A">
            <w:pPr>
              <w:pStyle w:val="Table"/>
              <w:spacing w:before="60" w:after="60"/>
              <w:rPr>
                <w:i/>
                <w:iCs/>
                <w:color w:val="2D7E7D" w:themeColor="accent6" w:themeShade="BF"/>
                <w:u w:val="single"/>
              </w:rPr>
            </w:pPr>
            <w:hyperlink r:id="rId19" w:history="1">
              <w:r w:rsidR="00002B17" w:rsidRPr="00700CA9">
                <w:rPr>
                  <w:rStyle w:val="Hyperlink"/>
                  <w:i/>
                  <w:iCs/>
                  <w:color w:val="2D7E7D" w:themeColor="accent6" w:themeShade="BF"/>
                </w:rPr>
                <w:t>Human Rights Act 2019</w:t>
              </w:r>
            </w:hyperlink>
          </w:p>
          <w:p w14:paraId="538A48EC" w14:textId="77777777" w:rsidR="005E1613" w:rsidRDefault="009E1774" w:rsidP="005E1613">
            <w:pPr>
              <w:pStyle w:val="Table"/>
              <w:spacing w:before="60" w:after="60"/>
            </w:pPr>
            <w:hyperlink r:id="rId20" w:history="1">
              <w:r w:rsidR="005E1613" w:rsidRPr="00EF2DBE">
                <w:rPr>
                  <w:rStyle w:val="Hyperlink"/>
                  <w:i/>
                  <w:iCs/>
                  <w:color w:val="2D7E7D" w:themeColor="accent6" w:themeShade="BF"/>
                </w:rPr>
                <w:t>Criminal Code Act 1899</w:t>
              </w:r>
            </w:hyperlink>
            <w:r w:rsidR="005E1613">
              <w:t xml:space="preserve"> (Section 229BC </w:t>
            </w:r>
            <w:r w:rsidR="005E1613" w:rsidRPr="0085691D">
              <w:t>Failure to report belief of child sexual offence committed in relation to child</w:t>
            </w:r>
            <w:r w:rsidR="005E1613">
              <w:t>)</w:t>
            </w:r>
          </w:p>
          <w:p w14:paraId="6E9B43CC" w14:textId="77777777" w:rsidR="005B3E38" w:rsidRDefault="009E1774" w:rsidP="005B3E38">
            <w:pPr>
              <w:pStyle w:val="Table"/>
              <w:spacing w:before="60" w:after="60"/>
              <w:rPr>
                <w:rStyle w:val="Hyperlink"/>
                <w:i/>
                <w:iCs/>
                <w:color w:val="2D7E7D" w:themeColor="accent6" w:themeShade="BF"/>
              </w:rPr>
            </w:pPr>
            <w:hyperlink r:id="rId21" w:history="1">
              <w:r w:rsidR="005B3E38" w:rsidRPr="001D4052">
                <w:rPr>
                  <w:rStyle w:val="Hyperlink"/>
                  <w:i/>
                  <w:iCs/>
                  <w:color w:val="2D7E7D" w:themeColor="accent6" w:themeShade="BF"/>
                </w:rPr>
                <w:t>Criminal Code (Child Sexual Offences Reform) and Other Legislation Amendment Act 2020</w:t>
              </w:r>
            </w:hyperlink>
          </w:p>
          <w:p w14:paraId="43E94351" w14:textId="61E3EA6C" w:rsidR="00766E1D" w:rsidRPr="00700CA9" w:rsidRDefault="00547BDA" w:rsidP="003D030A">
            <w:pPr>
              <w:pStyle w:val="Table"/>
              <w:spacing w:before="60" w:after="60"/>
            </w:pPr>
            <w:r w:rsidRPr="00700CA9">
              <w:t xml:space="preserve">Australian Charities and Not-for-profits Commission </w:t>
            </w:r>
            <w:hyperlink r:id="rId22" w:history="1">
              <w:r w:rsidR="00766E1D" w:rsidRPr="00700CA9">
                <w:rPr>
                  <w:rStyle w:val="Hyperlink"/>
                  <w:color w:val="2D7E7D" w:themeColor="accent6" w:themeShade="BF"/>
                </w:rPr>
                <w:t>Governance Standards</w:t>
              </w:r>
            </w:hyperlink>
          </w:p>
          <w:p w14:paraId="48601B10" w14:textId="18229353" w:rsidR="00D91863" w:rsidRPr="00700CA9" w:rsidRDefault="00D91863" w:rsidP="003D030A">
            <w:pPr>
              <w:pStyle w:val="Table"/>
              <w:spacing w:before="60" w:after="60"/>
            </w:pPr>
            <w:r w:rsidRPr="00700CA9">
              <w:t xml:space="preserve">Queensland Government </w:t>
            </w:r>
            <w:hyperlink r:id="rId23" w:history="1">
              <w:r w:rsidR="00E2211A" w:rsidRPr="00700CA9">
                <w:rPr>
                  <w:rStyle w:val="Hyperlink"/>
                  <w:color w:val="2D7E7D" w:themeColor="accent6" w:themeShade="BF"/>
                  <w:highlight w:val="yellow"/>
                </w:rPr>
                <w:t xml:space="preserve">HSQF </w:t>
              </w:r>
              <w:r w:rsidRPr="00700CA9">
                <w:rPr>
                  <w:rStyle w:val="Hyperlink"/>
                  <w:color w:val="2D7E7D" w:themeColor="accent6" w:themeShade="BF"/>
                  <w:highlight w:val="yellow"/>
                </w:rPr>
                <w:t>User Guide – Certification</w:t>
              </w:r>
            </w:hyperlink>
            <w:r w:rsidRPr="00700CA9">
              <w:rPr>
                <w:highlight w:val="yellow"/>
              </w:rPr>
              <w:t xml:space="preserve"> OR </w:t>
            </w:r>
            <w:r w:rsidR="00E2211A" w:rsidRPr="00700CA9">
              <w:rPr>
                <w:highlight w:val="yellow"/>
              </w:rPr>
              <w:t>HSQF</w:t>
            </w:r>
            <w:r w:rsidRPr="00700CA9">
              <w:rPr>
                <w:highlight w:val="yellow"/>
              </w:rPr>
              <w:t xml:space="preserve"> </w:t>
            </w:r>
            <w:hyperlink r:id="rId24" w:history="1">
              <w:r w:rsidRPr="00700CA9">
                <w:rPr>
                  <w:rStyle w:val="Hyperlink"/>
                  <w:color w:val="2D7E7D" w:themeColor="accent6" w:themeShade="BF"/>
                  <w:highlight w:val="yellow"/>
                </w:rPr>
                <w:t>User Guide – Self-Assess</w:t>
              </w:r>
              <w:r w:rsidR="00E2211A" w:rsidRPr="00700CA9">
                <w:rPr>
                  <w:rStyle w:val="Hyperlink"/>
                  <w:color w:val="2D7E7D" w:themeColor="accent6" w:themeShade="BF"/>
                  <w:highlight w:val="yellow"/>
                </w:rPr>
                <w:t>able</w:t>
              </w:r>
            </w:hyperlink>
          </w:p>
          <w:p w14:paraId="0C4752E9" w14:textId="1C0008D9" w:rsidR="0034702F" w:rsidRPr="00700CA9" w:rsidRDefault="0034702F" w:rsidP="003D030A">
            <w:pPr>
              <w:pStyle w:val="Table"/>
              <w:spacing w:before="60" w:after="60"/>
            </w:pPr>
            <w:r w:rsidRPr="00700CA9">
              <w:t xml:space="preserve">Queensland Government </w:t>
            </w:r>
            <w:hyperlink r:id="rId25" w:history="1">
              <w:r w:rsidRPr="00700CA9">
                <w:rPr>
                  <w:rStyle w:val="Hyperlink"/>
                  <w:color w:val="2D7E7D" w:themeColor="accent6" w:themeShade="BF"/>
                </w:rPr>
                <w:t>Model Rules</w:t>
              </w:r>
            </w:hyperlink>
            <w:r w:rsidRPr="00700CA9">
              <w:t xml:space="preserve"> (for incorporated associations)</w:t>
            </w:r>
          </w:p>
          <w:p w14:paraId="29FB2DB0" w14:textId="36C059F1" w:rsidR="006B1EAD" w:rsidRPr="00700CA9" w:rsidRDefault="006B1EAD" w:rsidP="003D030A">
            <w:pPr>
              <w:pStyle w:val="Table"/>
              <w:spacing w:before="60" w:after="60"/>
            </w:pPr>
            <w:r w:rsidRPr="00700CA9">
              <w:t xml:space="preserve">Queensland Government </w:t>
            </w:r>
            <w:hyperlink r:id="rId26" w:history="1">
              <w:r w:rsidR="00C51D57" w:rsidRPr="00700CA9">
                <w:rPr>
                  <w:rStyle w:val="LinkChar"/>
                  <w:u w:val="single"/>
                  <w:lang w:val="en-AU"/>
                </w:rPr>
                <w:t>P2i User Agreement</w:t>
              </w:r>
            </w:hyperlink>
          </w:p>
          <w:p w14:paraId="10BBA5CD" w14:textId="75C8C1C4" w:rsidR="0022039C" w:rsidRPr="00700CA9" w:rsidRDefault="00097C5E" w:rsidP="003D030A">
            <w:pPr>
              <w:pStyle w:val="Table"/>
              <w:spacing w:before="60" w:after="60"/>
            </w:pPr>
            <w:r w:rsidRPr="00700CA9">
              <w:t xml:space="preserve">Queensland Government </w:t>
            </w:r>
            <w:hyperlink r:id="rId27" w:history="1">
              <w:r w:rsidR="0022039C" w:rsidRPr="00700CA9">
                <w:rPr>
                  <w:rStyle w:val="Hyperlink"/>
                  <w:color w:val="2D7E7D" w:themeColor="accent6" w:themeShade="BF"/>
                </w:rPr>
                <w:t xml:space="preserve">Service Agreement </w:t>
              </w:r>
              <w:r w:rsidR="00A4607A" w:rsidRPr="00700CA9">
                <w:rPr>
                  <w:rStyle w:val="Hyperlink"/>
                  <w:color w:val="2D7E7D" w:themeColor="accent6" w:themeShade="BF"/>
                </w:rPr>
                <w:t>–</w:t>
              </w:r>
              <w:r w:rsidR="0022039C" w:rsidRPr="00700CA9">
                <w:rPr>
                  <w:rStyle w:val="Hyperlink"/>
                  <w:color w:val="2D7E7D" w:themeColor="accent6" w:themeShade="BF"/>
                </w:rPr>
                <w:t xml:space="preserve"> Standard</w:t>
              </w:r>
              <w:r w:rsidR="00A4607A" w:rsidRPr="00700CA9">
                <w:rPr>
                  <w:rStyle w:val="Hyperlink"/>
                  <w:color w:val="2D7E7D" w:themeColor="accent6" w:themeShade="BF"/>
                </w:rPr>
                <w:t xml:space="preserve"> </w:t>
              </w:r>
              <w:r w:rsidR="0022039C" w:rsidRPr="00700CA9">
                <w:rPr>
                  <w:rStyle w:val="Hyperlink"/>
                  <w:color w:val="2D7E7D" w:themeColor="accent6" w:themeShade="BF"/>
                </w:rPr>
                <w:t>Terms</w:t>
              </w:r>
            </w:hyperlink>
          </w:p>
        </w:tc>
      </w:tr>
      <w:tr w:rsidR="0022039C" w:rsidRPr="00700CA9" w14:paraId="47B86C01" w14:textId="77777777" w:rsidTr="00E72051">
        <w:trPr>
          <w:trHeight w:val="776"/>
        </w:trPr>
        <w:tc>
          <w:tcPr>
            <w:tcW w:w="2547" w:type="dxa"/>
            <w:hideMark/>
          </w:tcPr>
          <w:p w14:paraId="5B70E5F6" w14:textId="77777777" w:rsidR="00E72051" w:rsidRDefault="00E72051" w:rsidP="00E72051">
            <w:pPr>
              <w:spacing w:before="60" w:after="60"/>
              <w:rPr>
                <w:b/>
                <w:bCs/>
              </w:rPr>
            </w:pPr>
            <w:r>
              <w:rPr>
                <w:highlight w:val="yellow"/>
              </w:rPr>
              <w:lastRenderedPageBreak/>
              <w:t xml:space="preserve">Delete row </w:t>
            </w:r>
            <w:r w:rsidRPr="00700CA9">
              <w:rPr>
                <w:highlight w:val="yellow"/>
              </w:rPr>
              <w:t xml:space="preserve">if not </w:t>
            </w:r>
            <w:proofErr w:type="gramStart"/>
            <w:r w:rsidRPr="00700CA9">
              <w:rPr>
                <w:highlight w:val="yellow"/>
              </w:rPr>
              <w:t>required</w:t>
            </w:r>
            <w:proofErr w:type="gramEnd"/>
          </w:p>
          <w:p w14:paraId="320D32D0" w14:textId="4C03E6B1" w:rsidR="0022039C" w:rsidRPr="00700CA9" w:rsidRDefault="0022039C" w:rsidP="003D030A">
            <w:pPr>
              <w:spacing w:before="60" w:after="60"/>
            </w:pPr>
            <w:r w:rsidRPr="004B5F09">
              <w:rPr>
                <w:b/>
                <w:bCs/>
              </w:rPr>
              <w:t xml:space="preserve">Child </w:t>
            </w:r>
            <w:r w:rsidR="00FB55A8" w:rsidRPr="004B5F09">
              <w:rPr>
                <w:b/>
                <w:bCs/>
              </w:rPr>
              <w:t>Protection Placement Services</w:t>
            </w:r>
            <w:r w:rsidR="00F510BD" w:rsidRPr="00700CA9">
              <w:rPr>
                <w:rStyle w:val="FootnoteReference"/>
                <w:b/>
                <w:bCs/>
              </w:rPr>
              <w:footnoteReference w:id="3"/>
            </w:r>
          </w:p>
          <w:p w14:paraId="006E7460" w14:textId="4AD6B75A" w:rsidR="00EC788D" w:rsidRPr="00700CA9" w:rsidRDefault="00EC788D" w:rsidP="003D030A">
            <w:pPr>
              <w:spacing w:before="60" w:after="60"/>
            </w:pPr>
            <w:r w:rsidRPr="00700CA9">
              <w:rPr>
                <w:i/>
                <w:iCs/>
              </w:rPr>
              <w:t xml:space="preserve">Service </w:t>
            </w:r>
            <w:r w:rsidR="00150531" w:rsidRPr="00700CA9">
              <w:rPr>
                <w:i/>
                <w:iCs/>
              </w:rPr>
              <w:t>S</w:t>
            </w:r>
            <w:r w:rsidRPr="00700CA9">
              <w:rPr>
                <w:i/>
                <w:iCs/>
              </w:rPr>
              <w:t>tream:</w:t>
            </w:r>
            <w:r w:rsidR="00A90422" w:rsidRPr="00700CA9">
              <w:rPr>
                <w:i/>
                <w:iCs/>
              </w:rPr>
              <w:br/>
            </w:r>
            <w:r w:rsidRPr="00700CA9">
              <w:t xml:space="preserve">Child and </w:t>
            </w:r>
            <w:r w:rsidR="00A90422" w:rsidRPr="00700CA9">
              <w:t>F</w:t>
            </w:r>
            <w:r w:rsidRPr="00700CA9">
              <w:t>amily</w:t>
            </w:r>
          </w:p>
          <w:p w14:paraId="3F632FDA" w14:textId="597A4B0E" w:rsidR="0022039C" w:rsidRPr="00700CA9" w:rsidRDefault="00EC788D" w:rsidP="003D030A">
            <w:pPr>
              <w:spacing w:before="60" w:after="60"/>
            </w:pPr>
            <w:r w:rsidRPr="00700CA9">
              <w:t>Department:</w:t>
            </w:r>
            <w:r w:rsidR="00A90422" w:rsidRPr="00700CA9">
              <w:br/>
            </w:r>
            <w:r w:rsidRPr="00700CA9">
              <w:t>DCSSDS</w:t>
            </w:r>
          </w:p>
        </w:tc>
        <w:tc>
          <w:tcPr>
            <w:tcW w:w="7376" w:type="dxa"/>
            <w:hideMark/>
          </w:tcPr>
          <w:p w14:paraId="5B2F9350" w14:textId="5957DEE4" w:rsidR="0022039C" w:rsidRPr="00700CA9" w:rsidRDefault="009E1774" w:rsidP="003D030A">
            <w:pPr>
              <w:pStyle w:val="Table"/>
              <w:spacing w:before="60" w:after="60"/>
              <w:rPr>
                <w:i/>
                <w:iCs/>
                <w:color w:val="2D7E7D" w:themeColor="accent6" w:themeShade="BF"/>
              </w:rPr>
            </w:pPr>
            <w:hyperlink r:id="rId28" w:history="1">
              <w:r w:rsidR="0022039C" w:rsidRPr="00700CA9">
                <w:rPr>
                  <w:rStyle w:val="Hyperlink"/>
                  <w:i/>
                  <w:iCs/>
                  <w:color w:val="2D7E7D" w:themeColor="accent6" w:themeShade="BF"/>
                </w:rPr>
                <w:t>Child Protection Act 1999</w:t>
              </w:r>
            </w:hyperlink>
          </w:p>
          <w:p w14:paraId="4B334B17" w14:textId="05E6D15A" w:rsidR="0022039C" w:rsidRPr="00700CA9" w:rsidRDefault="009E1774" w:rsidP="003D030A">
            <w:pPr>
              <w:pStyle w:val="Table"/>
              <w:spacing w:before="60" w:after="60"/>
              <w:rPr>
                <w:i/>
                <w:iCs/>
                <w:color w:val="2D7E7D" w:themeColor="accent6" w:themeShade="BF"/>
              </w:rPr>
            </w:pPr>
            <w:hyperlink r:id="rId29" w:anchor="pt.1" w:history="1">
              <w:r w:rsidR="0022039C" w:rsidRPr="00700CA9">
                <w:rPr>
                  <w:rStyle w:val="Hyperlink"/>
                  <w:i/>
                  <w:iCs/>
                  <w:color w:val="2D7E7D" w:themeColor="accent6" w:themeShade="BF"/>
                </w:rPr>
                <w:t>Child Protection Regulation 20</w:t>
              </w:r>
              <w:r w:rsidR="00825528" w:rsidRPr="00700CA9">
                <w:rPr>
                  <w:rStyle w:val="Hyperlink"/>
                  <w:i/>
                  <w:iCs/>
                  <w:color w:val="2D7E7D" w:themeColor="accent6" w:themeShade="BF"/>
                </w:rPr>
                <w:t>23</w:t>
              </w:r>
            </w:hyperlink>
          </w:p>
          <w:p w14:paraId="50CBD6B6" w14:textId="5D7A0F33" w:rsidR="0022039C" w:rsidRPr="00700CA9" w:rsidRDefault="00FF57DA" w:rsidP="003D030A">
            <w:pPr>
              <w:pStyle w:val="Table"/>
              <w:spacing w:before="60" w:after="60"/>
            </w:pPr>
            <w:r w:rsidRPr="00700CA9">
              <w:t xml:space="preserve">Department of Child Safety, Seniors and Disability Services </w:t>
            </w:r>
            <w:hyperlink r:id="rId30" w:history="1">
              <w:r w:rsidR="0022039C" w:rsidRPr="00700CA9">
                <w:rPr>
                  <w:rStyle w:val="Hyperlink"/>
                  <w:color w:val="2D7E7D" w:themeColor="accent6" w:themeShade="BF"/>
                  <w:highlight w:val="yellow"/>
                </w:rPr>
                <w:t>Child Protection (Placement Services) Investment Specification</w:t>
              </w:r>
            </w:hyperlink>
            <w:r w:rsidR="00A37C5A" w:rsidRPr="00700CA9">
              <w:rPr>
                <w:color w:val="2D7E7D" w:themeColor="accent6" w:themeShade="BF"/>
                <w:highlight w:val="yellow"/>
              </w:rPr>
              <w:t xml:space="preserve"> </w:t>
            </w:r>
            <w:r w:rsidR="00A37C5A" w:rsidRPr="00700CA9">
              <w:rPr>
                <w:highlight w:val="yellow"/>
              </w:rPr>
              <w:t>OR Individual Placement and Support Agreement</w:t>
            </w:r>
          </w:p>
          <w:p w14:paraId="36F8E753" w14:textId="4A3076D5" w:rsidR="0022039C" w:rsidRPr="00700CA9" w:rsidRDefault="00BE25AB" w:rsidP="003D030A">
            <w:pPr>
              <w:pStyle w:val="Table"/>
              <w:spacing w:before="60" w:after="60"/>
              <w:rPr>
                <w:color w:val="2D7E7D" w:themeColor="accent6" w:themeShade="BF"/>
              </w:rPr>
            </w:pPr>
            <w:r w:rsidRPr="00700CA9">
              <w:t xml:space="preserve">Department of Child Safety, Seniors and Disability Services </w:t>
            </w:r>
            <w:hyperlink r:id="rId31" w:history="1">
              <w:r w:rsidR="0022039C" w:rsidRPr="00700CA9">
                <w:rPr>
                  <w:rStyle w:val="Hyperlink"/>
                  <w:color w:val="2D7E7D" w:themeColor="accent6" w:themeShade="BF"/>
                </w:rPr>
                <w:t>Child Safety Licensing</w:t>
              </w:r>
            </w:hyperlink>
          </w:p>
          <w:p w14:paraId="2A4CC650" w14:textId="77777777" w:rsidR="00CD64B5" w:rsidRPr="00700CA9" w:rsidRDefault="00CD64B5" w:rsidP="003D030A">
            <w:pPr>
              <w:pStyle w:val="Table"/>
              <w:spacing w:before="60" w:after="60"/>
              <w:rPr>
                <w:color w:val="2D7E7D" w:themeColor="accent6" w:themeShade="BF"/>
              </w:rPr>
            </w:pPr>
            <w:r w:rsidRPr="00700CA9">
              <w:t xml:space="preserve">Department of Child Safety, Seniors and Disability Services </w:t>
            </w:r>
            <w:hyperlink r:id="rId32" w:history="1">
              <w:r w:rsidRPr="00700CA9">
                <w:rPr>
                  <w:rStyle w:val="Hyperlink"/>
                  <w:color w:val="2D7E7D" w:themeColor="accent6" w:themeShade="BF"/>
                </w:rPr>
                <w:t>Service Agreement – Funding and Service Details</w:t>
              </w:r>
            </w:hyperlink>
          </w:p>
          <w:p w14:paraId="56D1BA43" w14:textId="4D46A5A0" w:rsidR="00BE25AB" w:rsidRPr="00700CA9" w:rsidRDefault="00BE25AB" w:rsidP="003D030A">
            <w:pPr>
              <w:pStyle w:val="Table"/>
              <w:spacing w:before="60" w:after="60"/>
            </w:pPr>
            <w:r w:rsidRPr="00700CA9">
              <w:t xml:space="preserve">Queensland Government </w:t>
            </w:r>
            <w:hyperlink r:id="rId33" w:history="1">
              <w:r w:rsidRPr="00700CA9">
                <w:rPr>
                  <w:rStyle w:val="Hyperlink"/>
                  <w:color w:val="2D7E7D" w:themeColor="accent6" w:themeShade="BF"/>
                </w:rPr>
                <w:t>Aboriginal and Torres Strait Islander Child Placement Principle Policy Statement – What it Means in Practice</w:t>
              </w:r>
            </w:hyperlink>
          </w:p>
          <w:p w14:paraId="77FD33C8" w14:textId="363DB9B8" w:rsidR="0022039C" w:rsidRPr="00700CA9" w:rsidRDefault="00087D2B" w:rsidP="003D030A">
            <w:pPr>
              <w:pStyle w:val="Table"/>
              <w:spacing w:before="60" w:after="60"/>
            </w:pPr>
            <w:r w:rsidRPr="00700CA9">
              <w:t xml:space="preserve">Queensland Government </w:t>
            </w:r>
            <w:hyperlink r:id="rId34" w:history="1">
              <w:r w:rsidR="0022039C" w:rsidRPr="00700CA9">
                <w:rPr>
                  <w:rStyle w:val="Hyperlink"/>
                  <w:color w:val="2D7E7D" w:themeColor="accent6" w:themeShade="BF"/>
                </w:rPr>
                <w:t>Child Safety Practice Manual</w:t>
              </w:r>
            </w:hyperlink>
          </w:p>
        </w:tc>
      </w:tr>
      <w:tr w:rsidR="0022039C" w:rsidRPr="00700CA9" w14:paraId="7A57E19C" w14:textId="77777777" w:rsidTr="00E72051">
        <w:tc>
          <w:tcPr>
            <w:tcW w:w="2547" w:type="dxa"/>
            <w:hideMark/>
          </w:tcPr>
          <w:p w14:paraId="6D1AD28E" w14:textId="77777777" w:rsidR="00E72051" w:rsidRDefault="00E72051" w:rsidP="00E72051">
            <w:pPr>
              <w:spacing w:before="60" w:after="60"/>
              <w:rPr>
                <w:b/>
                <w:bCs/>
              </w:rPr>
            </w:pPr>
            <w:r>
              <w:rPr>
                <w:highlight w:val="yellow"/>
              </w:rPr>
              <w:t xml:space="preserve">Delete row </w:t>
            </w:r>
            <w:r w:rsidRPr="00700CA9">
              <w:rPr>
                <w:highlight w:val="yellow"/>
              </w:rPr>
              <w:t xml:space="preserve">if not </w:t>
            </w:r>
            <w:proofErr w:type="gramStart"/>
            <w:r w:rsidRPr="00700CA9">
              <w:rPr>
                <w:highlight w:val="yellow"/>
              </w:rPr>
              <w:t>required</w:t>
            </w:r>
            <w:proofErr w:type="gramEnd"/>
          </w:p>
          <w:p w14:paraId="09142F05" w14:textId="6785C40D" w:rsidR="0022039C" w:rsidRPr="004B5F09" w:rsidRDefault="0022039C" w:rsidP="003D030A">
            <w:pPr>
              <w:spacing w:before="60" w:after="60"/>
              <w:rPr>
                <w:b/>
                <w:bCs/>
              </w:rPr>
            </w:pPr>
            <w:r w:rsidRPr="004B5F09">
              <w:rPr>
                <w:b/>
                <w:bCs/>
              </w:rPr>
              <w:t xml:space="preserve">Child </w:t>
            </w:r>
            <w:r w:rsidR="00FB55A8" w:rsidRPr="004B5F09">
              <w:rPr>
                <w:b/>
                <w:bCs/>
              </w:rPr>
              <w:t>P</w:t>
            </w:r>
            <w:r w:rsidRPr="004B5F09">
              <w:rPr>
                <w:b/>
                <w:bCs/>
              </w:rPr>
              <w:t xml:space="preserve">rotection </w:t>
            </w:r>
            <w:r w:rsidR="00FB55A8" w:rsidRPr="004B5F09">
              <w:rPr>
                <w:b/>
                <w:bCs/>
              </w:rPr>
              <w:t>S</w:t>
            </w:r>
            <w:r w:rsidR="00642997" w:rsidRPr="004B5F09">
              <w:rPr>
                <w:b/>
                <w:bCs/>
              </w:rPr>
              <w:t xml:space="preserve">upport </w:t>
            </w:r>
            <w:r w:rsidR="00FB55A8" w:rsidRPr="004B5F09">
              <w:rPr>
                <w:b/>
                <w:bCs/>
              </w:rPr>
              <w:t>S</w:t>
            </w:r>
            <w:r w:rsidR="00642997" w:rsidRPr="004B5F09">
              <w:rPr>
                <w:b/>
                <w:bCs/>
              </w:rPr>
              <w:t>ervices</w:t>
            </w:r>
          </w:p>
          <w:p w14:paraId="385A30AC" w14:textId="2261456D" w:rsidR="00EC788D" w:rsidRPr="00700CA9" w:rsidRDefault="00EC788D" w:rsidP="003D030A">
            <w:pPr>
              <w:spacing w:before="60" w:after="60"/>
            </w:pPr>
            <w:r w:rsidRPr="00700CA9">
              <w:rPr>
                <w:i/>
                <w:iCs/>
              </w:rPr>
              <w:t xml:space="preserve">Service </w:t>
            </w:r>
            <w:r w:rsidR="00150531" w:rsidRPr="00700CA9">
              <w:rPr>
                <w:i/>
                <w:iCs/>
              </w:rPr>
              <w:t>S</w:t>
            </w:r>
            <w:r w:rsidRPr="00700CA9">
              <w:rPr>
                <w:i/>
                <w:iCs/>
              </w:rPr>
              <w:t>tream:</w:t>
            </w:r>
            <w:r w:rsidR="002F787F" w:rsidRPr="00700CA9">
              <w:rPr>
                <w:i/>
                <w:iCs/>
              </w:rPr>
              <w:br/>
            </w:r>
            <w:r w:rsidRPr="00700CA9">
              <w:t xml:space="preserve">Child and </w:t>
            </w:r>
            <w:r w:rsidR="00FB55A8" w:rsidRPr="00700CA9">
              <w:t>F</w:t>
            </w:r>
            <w:r w:rsidRPr="00700CA9">
              <w:t>amily</w:t>
            </w:r>
          </w:p>
          <w:p w14:paraId="665C7F52" w14:textId="1FC4AB19" w:rsidR="0022039C" w:rsidRPr="00700CA9" w:rsidRDefault="00EC788D" w:rsidP="003D030A">
            <w:pPr>
              <w:spacing w:before="60" w:after="60"/>
            </w:pPr>
            <w:r w:rsidRPr="00700CA9">
              <w:t>Department:</w:t>
            </w:r>
            <w:r w:rsidR="002F787F" w:rsidRPr="00700CA9">
              <w:br/>
            </w:r>
            <w:r w:rsidRPr="00700CA9">
              <w:t>DCSSDS</w:t>
            </w:r>
          </w:p>
        </w:tc>
        <w:tc>
          <w:tcPr>
            <w:tcW w:w="7376" w:type="dxa"/>
            <w:hideMark/>
          </w:tcPr>
          <w:p w14:paraId="03349E73" w14:textId="77777777" w:rsidR="000776E0" w:rsidRPr="00700CA9" w:rsidRDefault="009E1774" w:rsidP="003D030A">
            <w:pPr>
              <w:pStyle w:val="Table"/>
              <w:spacing w:before="60" w:after="60"/>
              <w:rPr>
                <w:i/>
                <w:iCs/>
                <w:color w:val="2D7E7D" w:themeColor="accent6" w:themeShade="BF"/>
              </w:rPr>
            </w:pPr>
            <w:hyperlink r:id="rId35" w:history="1">
              <w:r w:rsidR="000776E0" w:rsidRPr="00700CA9">
                <w:rPr>
                  <w:rStyle w:val="Hyperlink"/>
                  <w:i/>
                  <w:iCs/>
                  <w:color w:val="2D7E7D" w:themeColor="accent6" w:themeShade="BF"/>
                </w:rPr>
                <w:t>Child Protection Act 1999</w:t>
              </w:r>
            </w:hyperlink>
          </w:p>
          <w:p w14:paraId="14AF4765" w14:textId="77777777" w:rsidR="000776E0" w:rsidRPr="00700CA9" w:rsidRDefault="009E1774" w:rsidP="003D030A">
            <w:pPr>
              <w:pStyle w:val="Table"/>
              <w:spacing w:before="60" w:after="60"/>
              <w:rPr>
                <w:i/>
                <w:iCs/>
                <w:color w:val="2D7E7D" w:themeColor="accent6" w:themeShade="BF"/>
              </w:rPr>
            </w:pPr>
            <w:hyperlink r:id="rId36" w:anchor="pt.1" w:history="1">
              <w:r w:rsidR="000776E0" w:rsidRPr="00700CA9">
                <w:rPr>
                  <w:rStyle w:val="Hyperlink"/>
                  <w:i/>
                  <w:iCs/>
                  <w:color w:val="2D7E7D" w:themeColor="accent6" w:themeShade="BF"/>
                </w:rPr>
                <w:t>Child Protection Regulation 2023</w:t>
              </w:r>
            </w:hyperlink>
          </w:p>
          <w:p w14:paraId="350C0B24" w14:textId="22EEE189" w:rsidR="000776E0" w:rsidRPr="00700CA9" w:rsidRDefault="000776E0" w:rsidP="003D030A">
            <w:pPr>
              <w:pStyle w:val="Table"/>
              <w:spacing w:before="60" w:after="60"/>
            </w:pPr>
            <w:r w:rsidRPr="00700CA9">
              <w:t xml:space="preserve">Department of Child Safety, Seniors and Disability Services </w:t>
            </w:r>
            <w:hyperlink r:id="rId37" w:history="1">
              <w:r w:rsidRPr="00700CA9">
                <w:rPr>
                  <w:rStyle w:val="Hyperlink"/>
                  <w:color w:val="2D7E7D" w:themeColor="accent6" w:themeShade="BF"/>
                </w:rPr>
                <w:t>Child Protection (Placement Services) Investment Specification</w:t>
              </w:r>
            </w:hyperlink>
          </w:p>
          <w:p w14:paraId="2A1430A8" w14:textId="77777777" w:rsidR="000776E0" w:rsidRPr="00700CA9" w:rsidRDefault="000776E0" w:rsidP="003D030A">
            <w:pPr>
              <w:pStyle w:val="Table"/>
              <w:spacing w:before="60" w:after="60"/>
              <w:rPr>
                <w:color w:val="2D7E7D" w:themeColor="accent6" w:themeShade="BF"/>
              </w:rPr>
            </w:pPr>
            <w:r w:rsidRPr="00700CA9">
              <w:t xml:space="preserve">Department of Child Safety, Seniors and Disability Services </w:t>
            </w:r>
            <w:hyperlink r:id="rId38" w:history="1">
              <w:r w:rsidRPr="00700CA9">
                <w:rPr>
                  <w:rStyle w:val="Hyperlink"/>
                  <w:color w:val="2D7E7D" w:themeColor="accent6" w:themeShade="BF"/>
                </w:rPr>
                <w:t>Child Safety Licensing</w:t>
              </w:r>
            </w:hyperlink>
          </w:p>
          <w:p w14:paraId="639B68EF" w14:textId="4DFFEA53" w:rsidR="000776E0" w:rsidRPr="00700CA9" w:rsidRDefault="000776E0" w:rsidP="003D030A">
            <w:pPr>
              <w:pStyle w:val="Table"/>
              <w:spacing w:before="60" w:after="60"/>
              <w:rPr>
                <w:color w:val="2D7E7D" w:themeColor="accent6" w:themeShade="BF"/>
              </w:rPr>
            </w:pPr>
            <w:r w:rsidRPr="00700CA9">
              <w:t xml:space="preserve">Department of Child Safety, Seniors and Disability Services </w:t>
            </w:r>
            <w:hyperlink r:id="rId39" w:history="1">
              <w:r w:rsidRPr="00700CA9">
                <w:rPr>
                  <w:rStyle w:val="Hyperlink"/>
                  <w:color w:val="2D7E7D" w:themeColor="accent6" w:themeShade="BF"/>
                </w:rPr>
                <w:t>Service Agreement – Funding and Service Details</w:t>
              </w:r>
            </w:hyperlink>
          </w:p>
          <w:p w14:paraId="5C1572BD" w14:textId="77777777" w:rsidR="000776E0" w:rsidRPr="00700CA9" w:rsidRDefault="000776E0" w:rsidP="003D030A">
            <w:pPr>
              <w:pStyle w:val="Table"/>
              <w:spacing w:before="60" w:after="60"/>
            </w:pPr>
            <w:r w:rsidRPr="00700CA9">
              <w:t xml:space="preserve">Queensland Government </w:t>
            </w:r>
            <w:hyperlink r:id="rId40" w:history="1">
              <w:r w:rsidRPr="00700CA9">
                <w:rPr>
                  <w:rStyle w:val="Hyperlink"/>
                  <w:color w:val="2D7E7D" w:themeColor="accent6" w:themeShade="BF"/>
                </w:rPr>
                <w:t>Aboriginal and Torres Strait Islander Child Placement Principle Policy Statement – What it Means in Practice</w:t>
              </w:r>
            </w:hyperlink>
          </w:p>
          <w:p w14:paraId="1FFE5036" w14:textId="3DDF954D" w:rsidR="0022039C" w:rsidRPr="00700CA9" w:rsidRDefault="000776E0" w:rsidP="003D030A">
            <w:pPr>
              <w:pStyle w:val="Table"/>
              <w:spacing w:before="60" w:after="60"/>
            </w:pPr>
            <w:r w:rsidRPr="00700CA9">
              <w:t xml:space="preserve">Queensland Government </w:t>
            </w:r>
            <w:hyperlink r:id="rId41" w:history="1">
              <w:r w:rsidRPr="00700CA9">
                <w:rPr>
                  <w:rStyle w:val="Hyperlink"/>
                  <w:color w:val="2D7E7D" w:themeColor="accent6" w:themeShade="BF"/>
                </w:rPr>
                <w:t>Child Safety Practice Manual</w:t>
              </w:r>
            </w:hyperlink>
          </w:p>
        </w:tc>
      </w:tr>
      <w:tr w:rsidR="0022039C" w:rsidRPr="00700CA9" w14:paraId="2E7B9598" w14:textId="77777777" w:rsidTr="00E72051">
        <w:tc>
          <w:tcPr>
            <w:tcW w:w="2547" w:type="dxa"/>
            <w:hideMark/>
          </w:tcPr>
          <w:p w14:paraId="11A04E00" w14:textId="77777777" w:rsidR="00E72051" w:rsidRDefault="00E72051" w:rsidP="00E72051">
            <w:pPr>
              <w:spacing w:before="60" w:after="60"/>
              <w:rPr>
                <w:b/>
                <w:bCs/>
              </w:rPr>
            </w:pPr>
            <w:r>
              <w:rPr>
                <w:highlight w:val="yellow"/>
              </w:rPr>
              <w:t xml:space="preserve">Delete row </w:t>
            </w:r>
            <w:r w:rsidRPr="00700CA9">
              <w:rPr>
                <w:highlight w:val="yellow"/>
              </w:rPr>
              <w:t xml:space="preserve">if not </w:t>
            </w:r>
            <w:proofErr w:type="gramStart"/>
            <w:r w:rsidRPr="00700CA9">
              <w:rPr>
                <w:highlight w:val="yellow"/>
              </w:rPr>
              <w:t>required</w:t>
            </w:r>
            <w:proofErr w:type="gramEnd"/>
          </w:p>
          <w:p w14:paraId="18770E24" w14:textId="4D51F316" w:rsidR="0022039C" w:rsidRPr="00700CA9" w:rsidRDefault="0022039C" w:rsidP="003D030A">
            <w:pPr>
              <w:spacing w:before="60" w:after="60"/>
            </w:pPr>
            <w:r w:rsidRPr="004B5F09">
              <w:rPr>
                <w:b/>
                <w:bCs/>
              </w:rPr>
              <w:t>Families</w:t>
            </w:r>
            <w:r w:rsidR="00076004" w:rsidRPr="00700CA9">
              <w:rPr>
                <w:rStyle w:val="FootnoteReference"/>
                <w:b/>
                <w:bCs/>
              </w:rPr>
              <w:footnoteReference w:id="4"/>
            </w:r>
          </w:p>
          <w:p w14:paraId="497267CB" w14:textId="18E8F39C" w:rsidR="00EC788D" w:rsidRPr="00700CA9" w:rsidRDefault="00EC788D" w:rsidP="003D030A">
            <w:pPr>
              <w:spacing w:before="60" w:after="60"/>
            </w:pPr>
            <w:r w:rsidRPr="00700CA9">
              <w:rPr>
                <w:i/>
                <w:iCs/>
              </w:rPr>
              <w:t xml:space="preserve">Service </w:t>
            </w:r>
            <w:r w:rsidR="00150531" w:rsidRPr="00700CA9">
              <w:rPr>
                <w:i/>
                <w:iCs/>
              </w:rPr>
              <w:t>S</w:t>
            </w:r>
            <w:r w:rsidRPr="00700CA9">
              <w:rPr>
                <w:i/>
                <w:iCs/>
              </w:rPr>
              <w:t>tream:</w:t>
            </w:r>
            <w:r w:rsidR="002F787F" w:rsidRPr="00700CA9">
              <w:rPr>
                <w:i/>
                <w:iCs/>
              </w:rPr>
              <w:br/>
            </w:r>
            <w:r w:rsidRPr="00700CA9">
              <w:t xml:space="preserve">Child and </w:t>
            </w:r>
            <w:r w:rsidR="00FB55A8" w:rsidRPr="00700CA9">
              <w:t>F</w:t>
            </w:r>
            <w:r w:rsidRPr="00700CA9">
              <w:t>amily</w:t>
            </w:r>
          </w:p>
          <w:p w14:paraId="2A664748" w14:textId="1D4D30DA" w:rsidR="0022039C" w:rsidRPr="00700CA9" w:rsidRDefault="00EC788D" w:rsidP="003D030A">
            <w:pPr>
              <w:spacing w:before="60" w:after="60"/>
            </w:pPr>
            <w:r w:rsidRPr="00700CA9">
              <w:t>Department:</w:t>
            </w:r>
            <w:r w:rsidR="002F787F" w:rsidRPr="00700CA9">
              <w:br/>
            </w:r>
            <w:r w:rsidRPr="00700CA9">
              <w:t>DCSSDS</w:t>
            </w:r>
          </w:p>
        </w:tc>
        <w:tc>
          <w:tcPr>
            <w:tcW w:w="7376" w:type="dxa"/>
            <w:hideMark/>
          </w:tcPr>
          <w:p w14:paraId="080D5A66" w14:textId="77777777" w:rsidR="000776E0" w:rsidRPr="00700CA9" w:rsidRDefault="009E1774" w:rsidP="003D030A">
            <w:pPr>
              <w:pStyle w:val="Table"/>
              <w:spacing w:before="60" w:after="60"/>
              <w:rPr>
                <w:i/>
                <w:iCs/>
                <w:color w:val="2D7E7D" w:themeColor="accent6" w:themeShade="BF"/>
              </w:rPr>
            </w:pPr>
            <w:hyperlink r:id="rId42" w:history="1">
              <w:r w:rsidR="000776E0" w:rsidRPr="00700CA9">
                <w:rPr>
                  <w:rStyle w:val="Hyperlink"/>
                  <w:i/>
                  <w:iCs/>
                  <w:color w:val="2D7E7D" w:themeColor="accent6" w:themeShade="BF"/>
                </w:rPr>
                <w:t>Child Protection Act 1999</w:t>
              </w:r>
            </w:hyperlink>
          </w:p>
          <w:p w14:paraId="0351BBDF" w14:textId="77777777" w:rsidR="000776E0" w:rsidRPr="00700CA9" w:rsidRDefault="009E1774" w:rsidP="003D030A">
            <w:pPr>
              <w:pStyle w:val="Table"/>
              <w:spacing w:before="60" w:after="60"/>
              <w:rPr>
                <w:i/>
                <w:iCs/>
                <w:color w:val="2D7E7D" w:themeColor="accent6" w:themeShade="BF"/>
              </w:rPr>
            </w:pPr>
            <w:hyperlink r:id="rId43" w:anchor="pt.1" w:history="1">
              <w:r w:rsidR="000776E0" w:rsidRPr="00700CA9">
                <w:rPr>
                  <w:rStyle w:val="Hyperlink"/>
                  <w:i/>
                  <w:iCs/>
                  <w:color w:val="2D7E7D" w:themeColor="accent6" w:themeShade="BF"/>
                </w:rPr>
                <w:t>Child Protection Regulation 2023</w:t>
              </w:r>
            </w:hyperlink>
          </w:p>
          <w:p w14:paraId="5CE674BA" w14:textId="71CBDF43" w:rsidR="003323FB" w:rsidRPr="00700CA9" w:rsidRDefault="003323FB" w:rsidP="003D030A">
            <w:pPr>
              <w:pStyle w:val="Table"/>
              <w:spacing w:before="60" w:after="60"/>
            </w:pPr>
            <w:r w:rsidRPr="00700CA9">
              <w:t xml:space="preserve">Department of Child Safety, Seniors and Disability Services </w:t>
            </w:r>
            <w:hyperlink r:id="rId44" w:history="1">
              <w:r w:rsidRPr="00700CA9">
                <w:rPr>
                  <w:rStyle w:val="Hyperlink"/>
                  <w:color w:val="2D7E7D" w:themeColor="accent6" w:themeShade="BF"/>
                </w:rPr>
                <w:t>Assessment and Service Connect Operational Policy Guidelines (Manual)</w:t>
              </w:r>
            </w:hyperlink>
            <w:r w:rsidRPr="00700CA9">
              <w:t xml:space="preserve"> </w:t>
            </w:r>
            <w:r w:rsidRPr="00700CA9">
              <w:rPr>
                <w:highlight w:val="yellow"/>
              </w:rPr>
              <w:t>(</w:t>
            </w:r>
            <w:r w:rsidR="002C2172">
              <w:rPr>
                <w:highlight w:val="yellow"/>
              </w:rPr>
              <w:t xml:space="preserve">remove </w:t>
            </w:r>
            <w:r w:rsidRPr="00700CA9">
              <w:rPr>
                <w:highlight w:val="yellow"/>
              </w:rPr>
              <w:t xml:space="preserve">if </w:t>
            </w:r>
            <w:r w:rsidR="002C2172">
              <w:rPr>
                <w:highlight w:val="yellow"/>
              </w:rPr>
              <w:t>ir</w:t>
            </w:r>
            <w:r w:rsidRPr="00700CA9">
              <w:rPr>
                <w:highlight w:val="yellow"/>
              </w:rPr>
              <w:t>relevant)</w:t>
            </w:r>
          </w:p>
          <w:p w14:paraId="4B3E9E32" w14:textId="4157B5CE" w:rsidR="000776E0" w:rsidRPr="00700CA9" w:rsidRDefault="000776E0" w:rsidP="003D030A">
            <w:pPr>
              <w:pStyle w:val="Table"/>
              <w:spacing w:before="60" w:after="60"/>
            </w:pPr>
            <w:r w:rsidRPr="00700CA9">
              <w:t xml:space="preserve">Department of Child Safety, Seniors and Disability Services </w:t>
            </w:r>
            <w:hyperlink r:id="rId45" w:history="1">
              <w:r w:rsidRPr="00700CA9">
                <w:rPr>
                  <w:rStyle w:val="Hyperlink"/>
                  <w:color w:val="2D7E7D" w:themeColor="accent6" w:themeShade="BF"/>
                </w:rPr>
                <w:t>Child Protection (Placement Services) Investment Specification and Service Agreements</w:t>
              </w:r>
            </w:hyperlink>
          </w:p>
          <w:p w14:paraId="3C47BF5A" w14:textId="77777777" w:rsidR="000776E0" w:rsidRPr="00700CA9" w:rsidRDefault="000776E0" w:rsidP="003D030A">
            <w:pPr>
              <w:pStyle w:val="Table"/>
              <w:spacing w:before="60" w:after="60"/>
              <w:rPr>
                <w:color w:val="2D7E7D" w:themeColor="accent6" w:themeShade="BF"/>
              </w:rPr>
            </w:pPr>
            <w:r w:rsidRPr="00700CA9">
              <w:t xml:space="preserve">Department of Child Safety, Seniors and Disability Services </w:t>
            </w:r>
            <w:hyperlink r:id="rId46" w:history="1">
              <w:r w:rsidRPr="00700CA9">
                <w:rPr>
                  <w:rStyle w:val="Hyperlink"/>
                  <w:color w:val="2D7E7D" w:themeColor="accent6" w:themeShade="BF"/>
                </w:rPr>
                <w:t>Child Safety Licensing</w:t>
              </w:r>
            </w:hyperlink>
          </w:p>
          <w:p w14:paraId="48024F16" w14:textId="77777777" w:rsidR="00333697" w:rsidRPr="00700CA9" w:rsidRDefault="00333697" w:rsidP="003D030A">
            <w:pPr>
              <w:pStyle w:val="Table"/>
              <w:spacing w:before="60" w:after="60"/>
              <w:rPr>
                <w:rStyle w:val="Hyperlink"/>
                <w:color w:val="2D7E7D" w:themeColor="accent6" w:themeShade="BF"/>
              </w:rPr>
            </w:pPr>
            <w:r w:rsidRPr="00700CA9">
              <w:t xml:space="preserve">Department of Child Safety, Seniors and Disability Services </w:t>
            </w:r>
            <w:hyperlink r:id="rId47" w:history="1">
              <w:r w:rsidRPr="00700CA9">
                <w:rPr>
                  <w:rStyle w:val="Hyperlink"/>
                  <w:color w:val="2D7E7D" w:themeColor="accent6" w:themeShade="BF"/>
                </w:rPr>
                <w:t>Families Investment Specification</w:t>
              </w:r>
            </w:hyperlink>
          </w:p>
          <w:p w14:paraId="247DFD57" w14:textId="61A9772C" w:rsidR="003323FB" w:rsidRPr="00700CA9" w:rsidRDefault="003323FB" w:rsidP="003D030A">
            <w:pPr>
              <w:pStyle w:val="Table"/>
              <w:spacing w:before="60" w:after="60"/>
            </w:pPr>
            <w:r w:rsidRPr="00700CA9">
              <w:t xml:space="preserve">Department of Child Safety, Seniors and Disability Services </w:t>
            </w:r>
            <w:hyperlink r:id="rId48" w:history="1">
              <w:r w:rsidRPr="00700CA9">
                <w:rPr>
                  <w:rStyle w:val="Hyperlink"/>
                  <w:color w:val="2D7E7D" w:themeColor="accent6" w:themeShade="BF"/>
                </w:rPr>
                <w:t xml:space="preserve">Family and Child </w:t>
              </w:r>
              <w:r w:rsidR="00123044">
                <w:rPr>
                  <w:rStyle w:val="Hyperlink"/>
                  <w:color w:val="2D7E7D" w:themeColor="accent6" w:themeShade="BF"/>
                </w:rPr>
                <w:t>C</w:t>
              </w:r>
              <w:r w:rsidRPr="00700CA9">
                <w:rPr>
                  <w:rStyle w:val="Hyperlink"/>
                  <w:color w:val="2D7E7D" w:themeColor="accent6" w:themeShade="BF"/>
                </w:rPr>
                <w:t>onnect Service Model and Guidelines</w:t>
              </w:r>
            </w:hyperlink>
            <w:r w:rsidRPr="00700CA9">
              <w:t xml:space="preserve"> </w:t>
            </w:r>
            <w:r w:rsidRPr="00700CA9">
              <w:rPr>
                <w:highlight w:val="yellow"/>
              </w:rPr>
              <w:t>(</w:t>
            </w:r>
            <w:r w:rsidR="002C2172">
              <w:rPr>
                <w:highlight w:val="yellow"/>
              </w:rPr>
              <w:t xml:space="preserve">remove </w:t>
            </w:r>
            <w:r w:rsidR="002C2172" w:rsidRPr="00700CA9">
              <w:rPr>
                <w:highlight w:val="yellow"/>
              </w:rPr>
              <w:t xml:space="preserve">if </w:t>
            </w:r>
            <w:r w:rsidR="002C2172">
              <w:rPr>
                <w:highlight w:val="yellow"/>
              </w:rPr>
              <w:t>ir</w:t>
            </w:r>
            <w:r w:rsidR="002C2172" w:rsidRPr="00700CA9">
              <w:rPr>
                <w:highlight w:val="yellow"/>
              </w:rPr>
              <w:t>relevant</w:t>
            </w:r>
            <w:r w:rsidRPr="00700CA9">
              <w:rPr>
                <w:highlight w:val="yellow"/>
              </w:rPr>
              <w:t>)</w:t>
            </w:r>
          </w:p>
          <w:p w14:paraId="4F29D8FF" w14:textId="0EEAB6F8" w:rsidR="00217B02" w:rsidRPr="00700CA9" w:rsidRDefault="00217B02" w:rsidP="003D030A">
            <w:pPr>
              <w:pStyle w:val="Table"/>
              <w:spacing w:before="60" w:after="60"/>
            </w:pPr>
            <w:r w:rsidRPr="00700CA9">
              <w:t xml:space="preserve">Department of Child Safety, Seniors and Disability Services </w:t>
            </w:r>
            <w:hyperlink r:id="rId49" w:history="1">
              <w:r w:rsidRPr="00700CA9">
                <w:rPr>
                  <w:rStyle w:val="Hyperlink"/>
                  <w:color w:val="2D7E7D" w:themeColor="accent6" w:themeShade="BF"/>
                </w:rPr>
                <w:t>Intensive Family Support Service Model and Guidelines</w:t>
              </w:r>
            </w:hyperlink>
            <w:r w:rsidRPr="00700CA9">
              <w:t xml:space="preserve"> </w:t>
            </w:r>
            <w:r w:rsidRPr="00700CA9">
              <w:rPr>
                <w:highlight w:val="yellow"/>
              </w:rPr>
              <w:t>(</w:t>
            </w:r>
            <w:r w:rsidR="002C2172">
              <w:rPr>
                <w:highlight w:val="yellow"/>
              </w:rPr>
              <w:t>remove if ir</w:t>
            </w:r>
            <w:r w:rsidRPr="00700CA9">
              <w:rPr>
                <w:highlight w:val="yellow"/>
              </w:rPr>
              <w:t>relevant)</w:t>
            </w:r>
          </w:p>
          <w:p w14:paraId="2784BBB6" w14:textId="5F1B1498" w:rsidR="000776E0" w:rsidRPr="00700CA9" w:rsidRDefault="000776E0" w:rsidP="003D030A">
            <w:pPr>
              <w:pStyle w:val="Table"/>
              <w:spacing w:before="60" w:after="60"/>
              <w:rPr>
                <w:color w:val="2D7E7D" w:themeColor="accent6" w:themeShade="BF"/>
              </w:rPr>
            </w:pPr>
            <w:r w:rsidRPr="00700CA9">
              <w:t xml:space="preserve">Department of Child Safety, Seniors and Disability Services </w:t>
            </w:r>
            <w:hyperlink r:id="rId50" w:history="1">
              <w:r w:rsidRPr="00700CA9">
                <w:rPr>
                  <w:rStyle w:val="Hyperlink"/>
                  <w:color w:val="2D7E7D" w:themeColor="accent6" w:themeShade="BF"/>
                </w:rPr>
                <w:t>Service Agreement – Funding and Service Details</w:t>
              </w:r>
            </w:hyperlink>
          </w:p>
          <w:p w14:paraId="2A21EAB1" w14:textId="31164834" w:rsidR="000776E0" w:rsidRPr="00700CA9" w:rsidRDefault="000776E0" w:rsidP="003D030A">
            <w:pPr>
              <w:pStyle w:val="Table"/>
              <w:spacing w:before="60" w:after="60"/>
            </w:pPr>
            <w:r w:rsidRPr="00700CA9">
              <w:lastRenderedPageBreak/>
              <w:t xml:space="preserve">Queensland Government </w:t>
            </w:r>
            <w:hyperlink r:id="rId51" w:history="1">
              <w:r w:rsidRPr="00700CA9">
                <w:rPr>
                  <w:rStyle w:val="Hyperlink"/>
                  <w:color w:val="2D7E7D" w:themeColor="accent6" w:themeShade="BF"/>
                </w:rPr>
                <w:t>Aboriginal and Torres Strait Islander Child Placement Principle Policy Statement – What it Means in Practice</w:t>
              </w:r>
            </w:hyperlink>
          </w:p>
          <w:p w14:paraId="4E911265" w14:textId="62B58E14" w:rsidR="0022039C" w:rsidRPr="00700CA9" w:rsidRDefault="000776E0" w:rsidP="003D030A">
            <w:pPr>
              <w:pStyle w:val="Table"/>
              <w:spacing w:before="60" w:after="60"/>
              <w:rPr>
                <w:color w:val="2D7E7D" w:themeColor="accent6" w:themeShade="BF"/>
              </w:rPr>
            </w:pPr>
            <w:r w:rsidRPr="00700CA9">
              <w:t xml:space="preserve">Queensland Government </w:t>
            </w:r>
            <w:hyperlink r:id="rId52" w:history="1">
              <w:r w:rsidRPr="00700CA9">
                <w:rPr>
                  <w:rStyle w:val="Hyperlink"/>
                  <w:color w:val="2D7E7D" w:themeColor="accent6" w:themeShade="BF"/>
                </w:rPr>
                <w:t>Child Safety Practice Manual</w:t>
              </w:r>
            </w:hyperlink>
          </w:p>
        </w:tc>
      </w:tr>
      <w:tr w:rsidR="0022039C" w:rsidRPr="00700CA9" w14:paraId="417B4D23" w14:textId="77777777" w:rsidTr="00E72051">
        <w:tc>
          <w:tcPr>
            <w:tcW w:w="2547" w:type="dxa"/>
            <w:hideMark/>
          </w:tcPr>
          <w:p w14:paraId="1C4F1CD7" w14:textId="77777777" w:rsidR="00E72051" w:rsidRDefault="00E72051" w:rsidP="00E72051">
            <w:pPr>
              <w:spacing w:before="60" w:after="60"/>
              <w:rPr>
                <w:b/>
                <w:bCs/>
              </w:rPr>
            </w:pPr>
            <w:r>
              <w:rPr>
                <w:highlight w:val="yellow"/>
              </w:rPr>
              <w:lastRenderedPageBreak/>
              <w:t xml:space="preserve">Delete row </w:t>
            </w:r>
            <w:r w:rsidRPr="00700CA9">
              <w:rPr>
                <w:highlight w:val="yellow"/>
              </w:rPr>
              <w:t xml:space="preserve">if not </w:t>
            </w:r>
            <w:proofErr w:type="gramStart"/>
            <w:r w:rsidRPr="00700CA9">
              <w:rPr>
                <w:highlight w:val="yellow"/>
              </w:rPr>
              <w:t>required</w:t>
            </w:r>
            <w:proofErr w:type="gramEnd"/>
          </w:p>
          <w:p w14:paraId="5626A715" w14:textId="77777777" w:rsidR="0022039C" w:rsidRPr="004B5F09" w:rsidRDefault="0022039C" w:rsidP="003D030A">
            <w:pPr>
              <w:spacing w:before="60" w:after="60"/>
              <w:rPr>
                <w:b/>
                <w:bCs/>
              </w:rPr>
            </w:pPr>
            <w:r w:rsidRPr="004B5F09">
              <w:rPr>
                <w:b/>
                <w:bCs/>
              </w:rPr>
              <w:t>Domestic and Family Violence</w:t>
            </w:r>
          </w:p>
          <w:p w14:paraId="0769B99C" w14:textId="2CFFE99C" w:rsidR="002F787F" w:rsidRPr="00700CA9" w:rsidRDefault="00FB55A8" w:rsidP="003D030A">
            <w:pPr>
              <w:spacing w:before="60" w:after="60"/>
              <w:rPr>
                <w:i/>
                <w:iCs/>
              </w:rPr>
            </w:pPr>
            <w:r w:rsidRPr="00700CA9">
              <w:rPr>
                <w:i/>
                <w:iCs/>
              </w:rPr>
              <w:t xml:space="preserve">Service </w:t>
            </w:r>
            <w:r w:rsidR="00150531" w:rsidRPr="00700CA9">
              <w:rPr>
                <w:i/>
                <w:iCs/>
              </w:rPr>
              <w:t>S</w:t>
            </w:r>
            <w:r w:rsidRPr="00700CA9">
              <w:rPr>
                <w:i/>
                <w:iCs/>
              </w:rPr>
              <w:t>tream:</w:t>
            </w:r>
            <w:r w:rsidR="002F787F" w:rsidRPr="00700CA9">
              <w:rPr>
                <w:i/>
                <w:iCs/>
              </w:rPr>
              <w:br/>
            </w:r>
            <w:r w:rsidRPr="00700CA9">
              <w:t>Women’s Safety and Violence Prevention</w:t>
            </w:r>
            <w:r w:rsidR="00012201" w:rsidRPr="00700CA9">
              <w:t xml:space="preserve"> Services</w:t>
            </w:r>
          </w:p>
          <w:p w14:paraId="23E4B9AE" w14:textId="2D4F5665" w:rsidR="0022039C" w:rsidRPr="00700CA9" w:rsidRDefault="00FB55A8" w:rsidP="003D030A">
            <w:pPr>
              <w:spacing w:before="60" w:after="60"/>
            </w:pPr>
            <w:r w:rsidRPr="00700CA9">
              <w:t>Department: DJAG</w:t>
            </w:r>
          </w:p>
        </w:tc>
        <w:tc>
          <w:tcPr>
            <w:tcW w:w="7376" w:type="dxa"/>
            <w:hideMark/>
          </w:tcPr>
          <w:p w14:paraId="70542165" w14:textId="77777777" w:rsidR="00813057" w:rsidRPr="00700CA9" w:rsidRDefault="009E1774" w:rsidP="003D030A">
            <w:pPr>
              <w:pStyle w:val="Table"/>
              <w:spacing w:before="60" w:after="60"/>
              <w:rPr>
                <w:i/>
                <w:iCs/>
              </w:rPr>
            </w:pPr>
            <w:hyperlink r:id="rId53" w:history="1">
              <w:r w:rsidR="00813057" w:rsidRPr="00700CA9">
                <w:rPr>
                  <w:rStyle w:val="Hyperlink"/>
                  <w:i/>
                  <w:iCs/>
                  <w:color w:val="2D7E7D" w:themeColor="accent6" w:themeShade="BF"/>
                </w:rPr>
                <w:t>Child Protection Act 1999</w:t>
              </w:r>
            </w:hyperlink>
          </w:p>
          <w:p w14:paraId="18B41504" w14:textId="195A05CD" w:rsidR="0022039C" w:rsidRPr="00700CA9" w:rsidRDefault="009E1774" w:rsidP="003D030A">
            <w:pPr>
              <w:pStyle w:val="Table"/>
              <w:spacing w:before="60" w:after="60"/>
            </w:pPr>
            <w:hyperlink r:id="rId54" w:history="1">
              <w:r w:rsidR="0022039C" w:rsidRPr="00700CA9">
                <w:rPr>
                  <w:rStyle w:val="Hyperlink"/>
                  <w:i/>
                  <w:iCs/>
                  <w:color w:val="2D7E7D" w:themeColor="accent6" w:themeShade="BF"/>
                </w:rPr>
                <w:t>Domestic and Family Violence Protection Act 20</w:t>
              </w:r>
              <w:r w:rsidR="00813057" w:rsidRPr="00700CA9">
                <w:rPr>
                  <w:rStyle w:val="Hyperlink"/>
                  <w:i/>
                  <w:iCs/>
                  <w:color w:val="2D7E7D" w:themeColor="accent6" w:themeShade="BF"/>
                </w:rPr>
                <w:t>12</w:t>
              </w:r>
            </w:hyperlink>
          </w:p>
          <w:p w14:paraId="679C2366" w14:textId="48C438BC" w:rsidR="00BC1C11" w:rsidRPr="00700CA9" w:rsidRDefault="009E1774" w:rsidP="003D030A">
            <w:pPr>
              <w:pStyle w:val="Table"/>
              <w:spacing w:before="60" w:after="60"/>
            </w:pPr>
            <w:hyperlink r:id="rId55" w:history="1">
              <w:r w:rsidR="00813057" w:rsidRPr="00700CA9">
                <w:rPr>
                  <w:rStyle w:val="Hyperlink"/>
                  <w:i/>
                  <w:iCs/>
                  <w:color w:val="2D7E7D" w:themeColor="accent6" w:themeShade="BF"/>
                </w:rPr>
                <w:t>Domestic and Family Violence Protection (Combating Coercive Control) and Other Legislation Amendment Act 2023</w:t>
              </w:r>
            </w:hyperlink>
          </w:p>
          <w:p w14:paraId="662B089E" w14:textId="77777777" w:rsidR="00C53A3F" w:rsidRPr="00700CA9" w:rsidRDefault="009E1774" w:rsidP="003D030A">
            <w:pPr>
              <w:pStyle w:val="Table"/>
              <w:spacing w:before="60" w:after="60"/>
            </w:pPr>
            <w:hyperlink r:id="rId56" w:history="1">
              <w:r w:rsidR="00C53A3F" w:rsidRPr="00700CA9">
                <w:rPr>
                  <w:rStyle w:val="Hyperlink"/>
                  <w:i/>
                  <w:color w:val="2D7E7D" w:themeColor="accent6" w:themeShade="BF"/>
                </w:rPr>
                <w:t>Human Rights Act 2019</w:t>
              </w:r>
            </w:hyperlink>
            <w:r w:rsidR="00C53A3F" w:rsidRPr="00700CA9">
              <w:rPr>
                <w:i/>
              </w:rPr>
              <w:t xml:space="preserve"> </w:t>
            </w:r>
            <w:r w:rsidR="00C53A3F" w:rsidRPr="00700CA9">
              <w:rPr>
                <w:iCs/>
              </w:rPr>
              <w:t>(particularly</w:t>
            </w:r>
            <w:r w:rsidR="00C53A3F" w:rsidRPr="00700CA9">
              <w:rPr>
                <w:i/>
              </w:rPr>
              <w:t xml:space="preserve"> </w:t>
            </w:r>
            <w:r w:rsidR="00C53A3F" w:rsidRPr="00700CA9">
              <w:t xml:space="preserve">clause </w:t>
            </w:r>
            <w:hyperlink r:id="rId57" w:anchor=":~:text=The%20rights%20encompassed%20in%20s,language%20and%20traditional%20cultural%20expressions" w:history="1">
              <w:r w:rsidR="00C53A3F" w:rsidRPr="00700CA9">
                <w:rPr>
                  <w:rStyle w:val="Hyperlink"/>
                  <w:color w:val="2D7E7D" w:themeColor="accent6" w:themeShade="BF"/>
                </w:rPr>
                <w:t>28 Cultural rights - Aboriginal Peoples and Torres Strait Islander Peoples</w:t>
              </w:r>
            </w:hyperlink>
            <w:r w:rsidR="00C53A3F" w:rsidRPr="00700CA9">
              <w:t>)</w:t>
            </w:r>
          </w:p>
          <w:p w14:paraId="399AC0CB" w14:textId="77777777" w:rsidR="00AF43CA" w:rsidRPr="00700CA9" w:rsidRDefault="009E1774" w:rsidP="003D030A">
            <w:pPr>
              <w:pStyle w:val="Table"/>
              <w:spacing w:before="60" w:after="60"/>
            </w:pPr>
            <w:hyperlink r:id="rId58" w:history="1">
              <w:r w:rsidR="00AF43CA" w:rsidRPr="00700CA9">
                <w:rPr>
                  <w:rStyle w:val="Hyperlink"/>
                  <w:i/>
                  <w:iCs/>
                  <w:color w:val="2D7E7D" w:themeColor="accent6" w:themeShade="BF"/>
                </w:rPr>
                <w:t>Public Guardian Act 2012</w:t>
              </w:r>
            </w:hyperlink>
          </w:p>
          <w:p w14:paraId="1ACAF921" w14:textId="2F0856E0" w:rsidR="00C70FB2" w:rsidRDefault="00C70FB2" w:rsidP="003D030A">
            <w:pPr>
              <w:pStyle w:val="Table"/>
              <w:spacing w:before="60" w:after="60"/>
            </w:pPr>
            <w:r>
              <w:t xml:space="preserve">Queensland Government </w:t>
            </w:r>
            <w:hyperlink r:id="rId59" w:history="1">
              <w:r w:rsidRPr="00C70FB2">
                <w:rPr>
                  <w:rStyle w:val="Hyperlink"/>
                  <w:color w:val="2D7E7D" w:themeColor="accent6" w:themeShade="BF"/>
                </w:rPr>
                <w:t>Domestic and Family Violence: Common Risk and Safety Framework</w:t>
              </w:r>
            </w:hyperlink>
          </w:p>
          <w:p w14:paraId="105B0A42" w14:textId="5C35E625" w:rsidR="00F163D5" w:rsidRPr="00700CA9" w:rsidRDefault="0003733B" w:rsidP="003D030A">
            <w:pPr>
              <w:pStyle w:val="Table"/>
              <w:spacing w:before="60" w:after="60"/>
            </w:pPr>
            <w:r w:rsidRPr="00700CA9">
              <w:t xml:space="preserve">Queensland Government </w:t>
            </w:r>
            <w:hyperlink r:id="rId60" w:history="1">
              <w:r w:rsidR="00F163D5" w:rsidRPr="00700CA9">
                <w:rPr>
                  <w:rStyle w:val="Hyperlink"/>
                  <w:color w:val="2D7E7D" w:themeColor="accent6" w:themeShade="BF"/>
                </w:rPr>
                <w:t xml:space="preserve">Domestic and </w:t>
              </w:r>
              <w:r w:rsidRPr="00700CA9">
                <w:rPr>
                  <w:rStyle w:val="Hyperlink"/>
                  <w:color w:val="2D7E7D" w:themeColor="accent6" w:themeShade="BF"/>
                </w:rPr>
                <w:t>F</w:t>
              </w:r>
              <w:r w:rsidR="00F163D5" w:rsidRPr="00700CA9">
                <w:rPr>
                  <w:rStyle w:val="Hyperlink"/>
                  <w:color w:val="2D7E7D" w:themeColor="accent6" w:themeShade="BF"/>
                </w:rPr>
                <w:t xml:space="preserve">amily </w:t>
              </w:r>
              <w:r w:rsidRPr="00700CA9">
                <w:rPr>
                  <w:rStyle w:val="Hyperlink"/>
                  <w:color w:val="2D7E7D" w:themeColor="accent6" w:themeShade="BF"/>
                </w:rPr>
                <w:t>V</w:t>
              </w:r>
              <w:r w:rsidR="00F163D5" w:rsidRPr="00700CA9">
                <w:rPr>
                  <w:rStyle w:val="Hyperlink"/>
                  <w:color w:val="2D7E7D" w:themeColor="accent6" w:themeShade="BF"/>
                </w:rPr>
                <w:t xml:space="preserve">iolence </w:t>
              </w:r>
              <w:r w:rsidRPr="00700CA9">
                <w:rPr>
                  <w:rStyle w:val="Hyperlink"/>
                  <w:color w:val="2D7E7D" w:themeColor="accent6" w:themeShade="BF"/>
                </w:rPr>
                <w:t>S</w:t>
              </w:r>
              <w:r w:rsidR="00F163D5" w:rsidRPr="00700CA9">
                <w:rPr>
                  <w:rStyle w:val="Hyperlink"/>
                  <w:color w:val="2D7E7D" w:themeColor="accent6" w:themeShade="BF"/>
                </w:rPr>
                <w:t>ervices</w:t>
              </w:r>
              <w:r w:rsidRPr="00700CA9">
                <w:rPr>
                  <w:rStyle w:val="Hyperlink"/>
                  <w:color w:val="2D7E7D" w:themeColor="accent6" w:themeShade="BF"/>
                </w:rPr>
                <w:t>:</w:t>
              </w:r>
              <w:r w:rsidR="00F163D5" w:rsidRPr="00700CA9">
                <w:rPr>
                  <w:rStyle w:val="Hyperlink"/>
                  <w:color w:val="2D7E7D" w:themeColor="accent6" w:themeShade="BF"/>
                </w:rPr>
                <w:t xml:space="preserve"> Practice </w:t>
              </w:r>
              <w:r w:rsidRPr="00700CA9">
                <w:rPr>
                  <w:rStyle w:val="Hyperlink"/>
                  <w:color w:val="2D7E7D" w:themeColor="accent6" w:themeShade="BF"/>
                </w:rPr>
                <w:t>P</w:t>
              </w:r>
              <w:r w:rsidR="00F163D5" w:rsidRPr="00700CA9">
                <w:rPr>
                  <w:rStyle w:val="Hyperlink"/>
                  <w:color w:val="2D7E7D" w:themeColor="accent6" w:themeShade="BF"/>
                </w:rPr>
                <w:t xml:space="preserve">rinciples, </w:t>
              </w:r>
              <w:r w:rsidRPr="00700CA9">
                <w:rPr>
                  <w:rStyle w:val="Hyperlink"/>
                  <w:color w:val="2D7E7D" w:themeColor="accent6" w:themeShade="BF"/>
                </w:rPr>
                <w:t>S</w:t>
              </w:r>
              <w:r w:rsidR="00F163D5" w:rsidRPr="00700CA9">
                <w:rPr>
                  <w:rStyle w:val="Hyperlink"/>
                  <w:color w:val="2D7E7D" w:themeColor="accent6" w:themeShade="BF"/>
                </w:rPr>
                <w:t xml:space="preserve">tandards and </w:t>
              </w:r>
              <w:r w:rsidRPr="00700CA9">
                <w:rPr>
                  <w:rStyle w:val="Hyperlink"/>
                  <w:color w:val="2D7E7D" w:themeColor="accent6" w:themeShade="BF"/>
                </w:rPr>
                <w:t>G</w:t>
              </w:r>
              <w:r w:rsidR="00F163D5" w:rsidRPr="00700CA9">
                <w:rPr>
                  <w:rStyle w:val="Hyperlink"/>
                  <w:color w:val="2D7E7D" w:themeColor="accent6" w:themeShade="BF"/>
                </w:rPr>
                <w:t>uidance</w:t>
              </w:r>
            </w:hyperlink>
            <w:r w:rsidR="00F163D5" w:rsidRPr="00700CA9">
              <w:t xml:space="preserve"> </w:t>
            </w:r>
          </w:p>
          <w:p w14:paraId="6B34A8B5" w14:textId="77777777" w:rsidR="00EF6BBD" w:rsidRPr="00700CA9" w:rsidRDefault="00EF6BBD" w:rsidP="003D030A">
            <w:pPr>
              <w:pStyle w:val="Table"/>
              <w:spacing w:before="60" w:after="60"/>
              <w:rPr>
                <w:rFonts w:asciiTheme="majorHAnsi" w:hAnsiTheme="majorHAnsi" w:cstheme="majorHAnsi"/>
                <w:i/>
                <w:iCs/>
                <w:u w:val="single"/>
              </w:rPr>
            </w:pPr>
            <w:r w:rsidRPr="00700CA9">
              <w:rPr>
                <w:rFonts w:asciiTheme="majorHAnsi" w:hAnsiTheme="majorHAnsi" w:cstheme="majorHAnsi"/>
                <w:iCs/>
              </w:rPr>
              <w:t xml:space="preserve">Queensland Government </w:t>
            </w:r>
            <w:hyperlink r:id="rId61" w:history="1">
              <w:r w:rsidRPr="00EF2DBE">
                <w:rPr>
                  <w:rFonts w:asciiTheme="majorHAnsi" w:hAnsiTheme="majorHAnsi" w:cstheme="majorHAnsi"/>
                  <w:color w:val="2D7E7D" w:themeColor="accent6" w:themeShade="BF"/>
                  <w:u w:val="single"/>
                </w:rPr>
                <w:t>Domestic and Family Violence Services Regulatory Framework</w:t>
              </w:r>
            </w:hyperlink>
          </w:p>
          <w:p w14:paraId="07584119" w14:textId="34A9025C" w:rsidR="007520DA" w:rsidRPr="00700CA9" w:rsidRDefault="007520DA" w:rsidP="003D030A">
            <w:pPr>
              <w:pStyle w:val="Table"/>
              <w:spacing w:before="60" w:after="60"/>
            </w:pPr>
            <w:r w:rsidRPr="00700CA9">
              <w:t xml:space="preserve">Queensland Government </w:t>
            </w:r>
            <w:hyperlink r:id="rId62" w:history="1">
              <w:r w:rsidRPr="00700CA9">
                <w:rPr>
                  <w:rStyle w:val="Hyperlink"/>
                  <w:color w:val="2D7E7D" w:themeColor="accent6" w:themeShade="BF"/>
                </w:rPr>
                <w:t>Domestic and Family Violence Support Services Investment Specification</w:t>
              </w:r>
            </w:hyperlink>
          </w:p>
          <w:p w14:paraId="41639907" w14:textId="0B459455" w:rsidR="00E2211A" w:rsidRPr="00700CA9" w:rsidRDefault="00E2211A" w:rsidP="003D030A">
            <w:pPr>
              <w:pStyle w:val="Table"/>
              <w:spacing w:before="60" w:after="60"/>
              <w:rPr>
                <w:i/>
              </w:rPr>
            </w:pPr>
            <w:r w:rsidRPr="00700CA9">
              <w:t xml:space="preserve">Queensland Government </w:t>
            </w:r>
            <w:hyperlink r:id="rId63" w:history="1">
              <w:r w:rsidRPr="00700CA9">
                <w:rPr>
                  <w:rStyle w:val="Hyperlink"/>
                  <w:color w:val="2D7E7D" w:themeColor="accent6" w:themeShade="BF"/>
                </w:rPr>
                <w:t>HSQF User Guide – Certification</w:t>
              </w:r>
              <w:r w:rsidR="00C577F3" w:rsidRPr="00700CA9">
                <w:rPr>
                  <w:rStyle w:val="Hyperlink"/>
                  <w:color w:val="2D7E7D" w:themeColor="accent6" w:themeShade="BF"/>
                </w:rPr>
                <w:t>:</w:t>
              </w:r>
              <w:r w:rsidRPr="00700CA9">
                <w:rPr>
                  <w:rStyle w:val="Hyperlink"/>
                  <w:color w:val="2D7E7D" w:themeColor="accent6" w:themeShade="BF"/>
                </w:rPr>
                <w:t xml:space="preserve"> Domestic and Family Violence Services Supplement</w:t>
              </w:r>
            </w:hyperlink>
          </w:p>
          <w:p w14:paraId="43E4F441" w14:textId="5331B4BE" w:rsidR="00BA0AB4" w:rsidRPr="00700CA9" w:rsidRDefault="00BA0AB4" w:rsidP="003D030A">
            <w:pPr>
              <w:pStyle w:val="Table"/>
              <w:spacing w:before="60" w:after="60"/>
            </w:pPr>
          </w:p>
        </w:tc>
      </w:tr>
      <w:tr w:rsidR="00151AA5" w:rsidRPr="00700CA9" w14:paraId="618265C5" w14:textId="77777777" w:rsidTr="00E72051">
        <w:tc>
          <w:tcPr>
            <w:tcW w:w="2547" w:type="dxa"/>
          </w:tcPr>
          <w:p w14:paraId="4402CDAF" w14:textId="77777777" w:rsidR="00E72051" w:rsidRDefault="00E72051" w:rsidP="00E72051">
            <w:pPr>
              <w:spacing w:before="60" w:after="60"/>
              <w:rPr>
                <w:b/>
                <w:bCs/>
              </w:rPr>
            </w:pPr>
            <w:r>
              <w:rPr>
                <w:highlight w:val="yellow"/>
              </w:rPr>
              <w:t xml:space="preserve">Delete row </w:t>
            </w:r>
            <w:r w:rsidRPr="00700CA9">
              <w:rPr>
                <w:highlight w:val="yellow"/>
              </w:rPr>
              <w:t xml:space="preserve">if not </w:t>
            </w:r>
            <w:proofErr w:type="gramStart"/>
            <w:r w:rsidRPr="00700CA9">
              <w:rPr>
                <w:highlight w:val="yellow"/>
              </w:rPr>
              <w:t>required</w:t>
            </w:r>
            <w:proofErr w:type="gramEnd"/>
          </w:p>
          <w:p w14:paraId="62871B0B" w14:textId="2E365E62" w:rsidR="00151AA5" w:rsidRPr="004B5F09" w:rsidRDefault="00151AA5" w:rsidP="003D030A">
            <w:pPr>
              <w:spacing w:before="60" w:after="60"/>
              <w:rPr>
                <w:b/>
                <w:bCs/>
              </w:rPr>
            </w:pPr>
            <w:r w:rsidRPr="004B5F09">
              <w:rPr>
                <w:b/>
                <w:bCs/>
              </w:rPr>
              <w:t>Sexual Violence and Women’s Support</w:t>
            </w:r>
          </w:p>
          <w:p w14:paraId="14E075F6" w14:textId="1E47C1BF" w:rsidR="00012201" w:rsidRPr="00700CA9" w:rsidRDefault="00151AA5" w:rsidP="003D030A">
            <w:pPr>
              <w:spacing w:before="60" w:after="60"/>
            </w:pPr>
            <w:r w:rsidRPr="00700CA9">
              <w:rPr>
                <w:i/>
                <w:iCs/>
              </w:rPr>
              <w:t xml:space="preserve">Service </w:t>
            </w:r>
            <w:r w:rsidR="00150531" w:rsidRPr="00700CA9">
              <w:rPr>
                <w:i/>
                <w:iCs/>
              </w:rPr>
              <w:t>S</w:t>
            </w:r>
            <w:r w:rsidRPr="00700CA9">
              <w:rPr>
                <w:i/>
                <w:iCs/>
              </w:rPr>
              <w:t>tream:</w:t>
            </w:r>
            <w:r w:rsidR="00012201" w:rsidRPr="00700CA9">
              <w:rPr>
                <w:i/>
                <w:iCs/>
              </w:rPr>
              <w:br/>
            </w:r>
            <w:r w:rsidRPr="00700CA9">
              <w:t>Women’s Safety and Violence Prevention Services</w:t>
            </w:r>
          </w:p>
          <w:p w14:paraId="1EDFBE6A" w14:textId="09400A8F" w:rsidR="00151AA5" w:rsidRPr="00700CA9" w:rsidRDefault="00151AA5" w:rsidP="003D030A">
            <w:pPr>
              <w:spacing w:before="60" w:after="60"/>
            </w:pPr>
            <w:r w:rsidRPr="00700CA9">
              <w:t>Department:</w:t>
            </w:r>
            <w:r w:rsidR="00012201" w:rsidRPr="00700CA9">
              <w:br/>
            </w:r>
            <w:r w:rsidRPr="00700CA9">
              <w:t>DJAG</w:t>
            </w:r>
          </w:p>
        </w:tc>
        <w:tc>
          <w:tcPr>
            <w:tcW w:w="7376" w:type="dxa"/>
          </w:tcPr>
          <w:p w14:paraId="699882C1" w14:textId="3439D11A" w:rsidR="00151AA5" w:rsidRPr="00700CA9" w:rsidRDefault="00A64BD2" w:rsidP="003D030A">
            <w:pPr>
              <w:pStyle w:val="Table"/>
              <w:spacing w:before="60" w:after="60"/>
            </w:pPr>
            <w:r w:rsidRPr="00700CA9">
              <w:t xml:space="preserve">Queensland Government </w:t>
            </w:r>
            <w:hyperlink r:id="rId64" w:history="1">
              <w:r w:rsidR="00151AA5" w:rsidRPr="00700CA9">
                <w:rPr>
                  <w:rStyle w:val="Hyperlink"/>
                  <w:color w:val="2D7E7D" w:themeColor="accent6" w:themeShade="BF"/>
                </w:rPr>
                <w:t>Sexual Violence and Women’s Support Services Investment Specification</w:t>
              </w:r>
            </w:hyperlink>
          </w:p>
          <w:p w14:paraId="1ADD2485" w14:textId="0F621E72" w:rsidR="00151AA5" w:rsidRPr="00700CA9" w:rsidRDefault="008E269B" w:rsidP="003D030A">
            <w:pPr>
              <w:pStyle w:val="Table"/>
              <w:spacing w:before="60" w:after="60"/>
              <w:rPr>
                <w:i/>
              </w:rPr>
            </w:pPr>
            <w:r w:rsidRPr="00700CA9">
              <w:t>Queensland Government</w:t>
            </w:r>
            <w:r w:rsidRPr="00700CA9">
              <w:rPr>
                <w:i/>
              </w:rPr>
              <w:t xml:space="preserve"> </w:t>
            </w:r>
            <w:hyperlink r:id="rId65" w:history="1">
              <w:r w:rsidR="00151AA5" w:rsidRPr="00700CA9">
                <w:rPr>
                  <w:rStyle w:val="Hyperlink"/>
                  <w:iCs/>
                  <w:color w:val="2D7E7D" w:themeColor="accent6" w:themeShade="BF"/>
                </w:rPr>
                <w:t>Queensland Government</w:t>
              </w:r>
              <w:r w:rsidR="00151AA5" w:rsidRPr="00700CA9">
                <w:rPr>
                  <w:rStyle w:val="Hyperlink"/>
                  <w:i/>
                  <w:color w:val="2D7E7D" w:themeColor="accent6" w:themeShade="BF"/>
                </w:rPr>
                <w:t xml:space="preserve"> </w:t>
              </w:r>
              <w:r w:rsidR="00151AA5" w:rsidRPr="00700CA9">
                <w:rPr>
                  <w:rStyle w:val="Hyperlink"/>
                  <w:iCs/>
                  <w:color w:val="2D7E7D" w:themeColor="accent6" w:themeShade="BF"/>
                </w:rPr>
                <w:t>Interagency Guidelines</w:t>
              </w:r>
              <w:r w:rsidR="00151AA5" w:rsidRPr="00700CA9">
                <w:rPr>
                  <w:rStyle w:val="Hyperlink"/>
                  <w:i/>
                  <w:color w:val="2D7E7D" w:themeColor="accent6" w:themeShade="BF"/>
                </w:rPr>
                <w:t xml:space="preserve"> </w:t>
              </w:r>
              <w:r w:rsidR="00151AA5" w:rsidRPr="00700CA9">
                <w:rPr>
                  <w:rStyle w:val="Hyperlink"/>
                  <w:color w:val="2D7E7D" w:themeColor="accent6" w:themeShade="BF"/>
                </w:rPr>
                <w:t>for responding to People who have Experienced Sexual Assault</w:t>
              </w:r>
            </w:hyperlink>
          </w:p>
          <w:p w14:paraId="08989B17" w14:textId="30CEC634" w:rsidR="00151AA5" w:rsidRPr="00700CA9" w:rsidRDefault="00151AA5" w:rsidP="003D030A">
            <w:pPr>
              <w:pStyle w:val="Table"/>
              <w:spacing w:before="60" w:after="60"/>
            </w:pPr>
            <w:r w:rsidRPr="00700CA9">
              <w:t xml:space="preserve">National Association of Services Against Sexual Violence </w:t>
            </w:r>
            <w:hyperlink r:id="rId66" w:history="1">
              <w:r w:rsidRPr="00B00925">
                <w:rPr>
                  <w:rStyle w:val="Hyperlink"/>
                  <w:color w:val="2D7E7D" w:themeColor="accent6" w:themeShade="BF"/>
                </w:rPr>
                <w:t>Standards of Practice Manual for Services Against Sexual Violence (3</w:t>
              </w:r>
              <w:r w:rsidRPr="00B00925">
                <w:rPr>
                  <w:rStyle w:val="Hyperlink"/>
                  <w:color w:val="2D7E7D" w:themeColor="accent6" w:themeShade="BF"/>
                  <w:vertAlign w:val="superscript"/>
                </w:rPr>
                <w:t>rd</w:t>
              </w:r>
              <w:r w:rsidRPr="00B00925">
                <w:rPr>
                  <w:rStyle w:val="Hyperlink"/>
                  <w:color w:val="2D7E7D" w:themeColor="accent6" w:themeShade="BF"/>
                </w:rPr>
                <w:t xml:space="preserve"> ed)</w:t>
              </w:r>
            </w:hyperlink>
          </w:p>
        </w:tc>
      </w:tr>
      <w:tr w:rsidR="009B7CEF" w:rsidRPr="00700CA9" w14:paraId="44C47059" w14:textId="77777777" w:rsidTr="00E72051">
        <w:tc>
          <w:tcPr>
            <w:tcW w:w="2547" w:type="dxa"/>
          </w:tcPr>
          <w:p w14:paraId="1C9D2930" w14:textId="77777777" w:rsidR="00E72051" w:rsidRDefault="00E72051" w:rsidP="00E72051">
            <w:pPr>
              <w:spacing w:before="60" w:after="60"/>
              <w:rPr>
                <w:b/>
                <w:bCs/>
              </w:rPr>
            </w:pPr>
            <w:r>
              <w:rPr>
                <w:highlight w:val="yellow"/>
              </w:rPr>
              <w:t xml:space="preserve">Delete row </w:t>
            </w:r>
            <w:r w:rsidRPr="00700CA9">
              <w:rPr>
                <w:highlight w:val="yellow"/>
              </w:rPr>
              <w:t xml:space="preserve">if not </w:t>
            </w:r>
            <w:proofErr w:type="gramStart"/>
            <w:r w:rsidRPr="00700CA9">
              <w:rPr>
                <w:highlight w:val="yellow"/>
              </w:rPr>
              <w:t>required</w:t>
            </w:r>
            <w:proofErr w:type="gramEnd"/>
          </w:p>
          <w:p w14:paraId="13F7EA7A" w14:textId="77777777" w:rsidR="009B7CEF" w:rsidRPr="004B5F09" w:rsidRDefault="009B7CEF" w:rsidP="003D030A">
            <w:pPr>
              <w:spacing w:before="60" w:after="60"/>
              <w:rPr>
                <w:b/>
                <w:bCs/>
              </w:rPr>
            </w:pPr>
            <w:r w:rsidRPr="004B5F09">
              <w:rPr>
                <w:b/>
                <w:bCs/>
              </w:rPr>
              <w:t>Community Services</w:t>
            </w:r>
          </w:p>
          <w:p w14:paraId="414A3197" w14:textId="1E0E27D2" w:rsidR="009B7CEF" w:rsidRPr="00700CA9" w:rsidRDefault="009B7CEF" w:rsidP="003D030A">
            <w:pPr>
              <w:spacing w:before="60" w:after="60"/>
              <w:rPr>
                <w:i/>
                <w:iCs/>
              </w:rPr>
            </w:pPr>
            <w:r w:rsidRPr="00700CA9">
              <w:rPr>
                <w:i/>
                <w:iCs/>
              </w:rPr>
              <w:t xml:space="preserve">Service </w:t>
            </w:r>
            <w:r w:rsidR="00150531" w:rsidRPr="00700CA9">
              <w:rPr>
                <w:i/>
                <w:iCs/>
              </w:rPr>
              <w:t>S</w:t>
            </w:r>
            <w:r w:rsidRPr="00700CA9">
              <w:rPr>
                <w:i/>
                <w:iCs/>
              </w:rPr>
              <w:t>tream:</w:t>
            </w:r>
            <w:r w:rsidR="00A90422" w:rsidRPr="00700CA9">
              <w:rPr>
                <w:i/>
                <w:iCs/>
              </w:rPr>
              <w:br/>
            </w:r>
            <w:r w:rsidRPr="00700CA9">
              <w:t>Community Services</w:t>
            </w:r>
          </w:p>
          <w:p w14:paraId="63354C6E" w14:textId="40D85C5A" w:rsidR="009B7CEF" w:rsidRPr="00700CA9" w:rsidRDefault="009B7CEF" w:rsidP="003D030A">
            <w:pPr>
              <w:spacing w:before="60" w:after="60"/>
            </w:pPr>
            <w:r w:rsidRPr="00700CA9">
              <w:t>Department:</w:t>
            </w:r>
            <w:r w:rsidR="00A90422" w:rsidRPr="00700CA9">
              <w:br/>
            </w:r>
            <w:r w:rsidRPr="00700CA9">
              <w:t>DTATSIPCA</w:t>
            </w:r>
          </w:p>
        </w:tc>
        <w:tc>
          <w:tcPr>
            <w:tcW w:w="7376" w:type="dxa"/>
          </w:tcPr>
          <w:p w14:paraId="3BC3DEFE" w14:textId="528D8945" w:rsidR="009B7CEF" w:rsidRPr="00700CA9" w:rsidRDefault="005F3835" w:rsidP="003D030A">
            <w:pPr>
              <w:pStyle w:val="Table"/>
              <w:spacing w:before="60" w:after="60"/>
            </w:pPr>
            <w:r w:rsidRPr="00700CA9">
              <w:t xml:space="preserve">Department of Treaty, Aboriginal and Torres Strait Islander Partnerships, Communities and the Arts </w:t>
            </w:r>
            <w:hyperlink r:id="rId67" w:history="1">
              <w:r w:rsidR="00412C6F" w:rsidRPr="00700CA9">
                <w:rPr>
                  <w:rStyle w:val="Hyperlink"/>
                  <w:color w:val="2D7E7D" w:themeColor="accent6" w:themeShade="BF"/>
                </w:rPr>
                <w:t>Community Services Investment Specification</w:t>
              </w:r>
            </w:hyperlink>
          </w:p>
          <w:p w14:paraId="2CD7B3F8" w14:textId="09E99AEB" w:rsidR="00412C6F" w:rsidRPr="00700CA9" w:rsidRDefault="00152339" w:rsidP="003D030A">
            <w:pPr>
              <w:pStyle w:val="Table"/>
              <w:spacing w:before="60" w:after="60"/>
            </w:pPr>
            <w:r w:rsidRPr="00700CA9">
              <w:t xml:space="preserve">Department of Treaty, Aboriginal and Torres Strait Islander Partnerships, Communities and the Arts </w:t>
            </w:r>
            <w:hyperlink r:id="rId68" w:history="1">
              <w:r w:rsidRPr="00700CA9">
                <w:rPr>
                  <w:rStyle w:val="Hyperlink"/>
                  <w:color w:val="2D7E7D" w:themeColor="accent6" w:themeShade="BF"/>
                </w:rPr>
                <w:t>Service Agreement – Funding and Service Details</w:t>
              </w:r>
            </w:hyperlink>
          </w:p>
          <w:p w14:paraId="0EC20848" w14:textId="0DE679CD" w:rsidR="00152339" w:rsidRPr="00700CA9" w:rsidRDefault="00152339" w:rsidP="003D030A">
            <w:pPr>
              <w:pStyle w:val="Table"/>
              <w:spacing w:before="60" w:after="60"/>
            </w:pPr>
          </w:p>
        </w:tc>
      </w:tr>
      <w:tr w:rsidR="001C30FF" w:rsidRPr="00700CA9" w14:paraId="3DED0859" w14:textId="77777777" w:rsidTr="00E72051">
        <w:tc>
          <w:tcPr>
            <w:tcW w:w="2547" w:type="dxa"/>
          </w:tcPr>
          <w:p w14:paraId="2B16CFFD" w14:textId="77777777" w:rsidR="00E72051" w:rsidRDefault="00E72051" w:rsidP="00E72051">
            <w:pPr>
              <w:spacing w:before="60" w:after="60"/>
              <w:rPr>
                <w:b/>
                <w:bCs/>
              </w:rPr>
            </w:pPr>
            <w:r>
              <w:rPr>
                <w:highlight w:val="yellow"/>
              </w:rPr>
              <w:t xml:space="preserve">Delete row </w:t>
            </w:r>
            <w:r w:rsidRPr="00700CA9">
              <w:rPr>
                <w:highlight w:val="yellow"/>
              </w:rPr>
              <w:t xml:space="preserve">if not </w:t>
            </w:r>
            <w:proofErr w:type="gramStart"/>
            <w:r w:rsidRPr="00700CA9">
              <w:rPr>
                <w:highlight w:val="yellow"/>
              </w:rPr>
              <w:t>required</w:t>
            </w:r>
            <w:proofErr w:type="gramEnd"/>
          </w:p>
          <w:p w14:paraId="28D8A405" w14:textId="77777777" w:rsidR="001C30FF" w:rsidRPr="004B5F09" w:rsidRDefault="001C30FF" w:rsidP="003D030A">
            <w:pPr>
              <w:spacing w:before="60" w:after="60"/>
              <w:rPr>
                <w:b/>
                <w:bCs/>
              </w:rPr>
            </w:pPr>
            <w:r w:rsidRPr="004B5F09">
              <w:rPr>
                <w:b/>
                <w:bCs/>
              </w:rPr>
              <w:t>Individuals</w:t>
            </w:r>
          </w:p>
          <w:p w14:paraId="39446BA2" w14:textId="10E1FA86" w:rsidR="002C2172" w:rsidRDefault="002C2172" w:rsidP="003D030A">
            <w:pPr>
              <w:spacing w:before="60" w:after="60"/>
              <w:rPr>
                <w:i/>
                <w:iCs/>
              </w:rPr>
            </w:pPr>
            <w:r w:rsidRPr="00700CA9">
              <w:rPr>
                <w:highlight w:val="yellow"/>
              </w:rPr>
              <w:t xml:space="preserve">Remove irrelevant service </w:t>
            </w:r>
            <w:proofErr w:type="gramStart"/>
            <w:r w:rsidRPr="00700CA9">
              <w:rPr>
                <w:highlight w:val="yellow"/>
              </w:rPr>
              <w:t>streams</w:t>
            </w:r>
            <w:proofErr w:type="gramEnd"/>
          </w:p>
          <w:p w14:paraId="170D7924" w14:textId="57036B9E" w:rsidR="0051542E" w:rsidRPr="00700CA9" w:rsidRDefault="001C30FF" w:rsidP="003D030A">
            <w:pPr>
              <w:spacing w:before="60" w:after="60"/>
            </w:pPr>
            <w:r w:rsidRPr="00700CA9">
              <w:rPr>
                <w:i/>
                <w:iCs/>
              </w:rPr>
              <w:t>Service Stream:</w:t>
            </w:r>
            <w:r w:rsidRPr="00700CA9">
              <w:rPr>
                <w:i/>
                <w:iCs/>
              </w:rPr>
              <w:br/>
            </w:r>
            <w:r w:rsidRPr="00700CA9">
              <w:t>Seniors Services</w:t>
            </w:r>
          </w:p>
          <w:p w14:paraId="25C10DEE" w14:textId="77777777" w:rsidR="0051542E" w:rsidRPr="00700CA9" w:rsidRDefault="001C30FF" w:rsidP="003D030A">
            <w:pPr>
              <w:spacing w:before="60" w:after="60"/>
            </w:pPr>
            <w:r w:rsidRPr="00700CA9">
              <w:t>Department:</w:t>
            </w:r>
            <w:r w:rsidR="0051542E" w:rsidRPr="00700CA9">
              <w:br/>
            </w:r>
            <w:r w:rsidRPr="00700CA9">
              <w:t>DCSSDS</w:t>
            </w:r>
          </w:p>
          <w:p w14:paraId="7969F96A" w14:textId="6523F480" w:rsidR="0051542E" w:rsidRPr="00700CA9" w:rsidRDefault="001C30FF" w:rsidP="003D030A">
            <w:pPr>
              <w:spacing w:before="60" w:after="60"/>
            </w:pPr>
            <w:r w:rsidRPr="00700CA9">
              <w:rPr>
                <w:i/>
                <w:iCs/>
              </w:rPr>
              <w:t>Service Stream:</w:t>
            </w:r>
            <w:r w:rsidRPr="00700CA9">
              <w:t xml:space="preserve"> Community Services</w:t>
            </w:r>
          </w:p>
          <w:p w14:paraId="6A208F8D" w14:textId="77777777" w:rsidR="0051542E" w:rsidRPr="00700CA9" w:rsidRDefault="001C30FF" w:rsidP="003D030A">
            <w:pPr>
              <w:spacing w:before="60" w:after="60"/>
            </w:pPr>
            <w:r w:rsidRPr="00700CA9">
              <w:lastRenderedPageBreak/>
              <w:t>Department:</w:t>
            </w:r>
            <w:r w:rsidR="0051542E" w:rsidRPr="00700CA9">
              <w:br/>
            </w:r>
            <w:r w:rsidRPr="00700CA9">
              <w:t>DTATSIPCA</w:t>
            </w:r>
          </w:p>
          <w:p w14:paraId="0367E644" w14:textId="5548CE6C" w:rsidR="0051542E" w:rsidRPr="00700CA9" w:rsidRDefault="001C30FF" w:rsidP="003D030A">
            <w:pPr>
              <w:spacing w:before="60" w:after="60"/>
            </w:pPr>
            <w:r w:rsidRPr="00700CA9">
              <w:rPr>
                <w:i/>
                <w:iCs/>
              </w:rPr>
              <w:t>Service Stream:</w:t>
            </w:r>
            <w:r w:rsidR="0051542E" w:rsidRPr="00700CA9">
              <w:br/>
            </w:r>
            <w:r w:rsidRPr="00700CA9">
              <w:t xml:space="preserve">Child and Family </w:t>
            </w:r>
          </w:p>
          <w:p w14:paraId="06586660" w14:textId="77777777" w:rsidR="0051542E" w:rsidRPr="00700CA9" w:rsidRDefault="001C30FF" w:rsidP="003D030A">
            <w:pPr>
              <w:spacing w:before="60" w:after="60"/>
            </w:pPr>
            <w:r w:rsidRPr="00700CA9">
              <w:t>Department:</w:t>
            </w:r>
            <w:r w:rsidR="0051542E" w:rsidRPr="00700CA9">
              <w:br/>
            </w:r>
            <w:r w:rsidRPr="00700CA9">
              <w:t>DJAG</w:t>
            </w:r>
          </w:p>
          <w:p w14:paraId="0E1FF437" w14:textId="11EDD52A" w:rsidR="00150531" w:rsidRPr="00700CA9" w:rsidRDefault="00150531" w:rsidP="003D030A">
            <w:pPr>
              <w:spacing w:before="60" w:after="60"/>
              <w:rPr>
                <w:i/>
                <w:iCs/>
              </w:rPr>
            </w:pPr>
            <w:r w:rsidRPr="00700CA9">
              <w:rPr>
                <w:i/>
                <w:iCs/>
              </w:rPr>
              <w:t>Service Stream:</w:t>
            </w:r>
            <w:r w:rsidRPr="00700CA9">
              <w:rPr>
                <w:i/>
                <w:iCs/>
              </w:rPr>
              <w:br/>
            </w:r>
            <w:r w:rsidR="001C30FF" w:rsidRPr="00700CA9">
              <w:t xml:space="preserve">Women’s Safety and Violence Prevention </w:t>
            </w:r>
          </w:p>
          <w:p w14:paraId="5193CE9D" w14:textId="2BFA1E66" w:rsidR="00150531" w:rsidRPr="00700CA9" w:rsidRDefault="001C30FF" w:rsidP="003D030A">
            <w:pPr>
              <w:spacing w:before="60" w:after="60"/>
            </w:pPr>
            <w:r w:rsidRPr="00700CA9">
              <w:t>Department:</w:t>
            </w:r>
            <w:r w:rsidR="00150531" w:rsidRPr="00700CA9">
              <w:br/>
            </w:r>
            <w:r w:rsidRPr="00700CA9">
              <w:t>DJAG</w:t>
            </w:r>
          </w:p>
        </w:tc>
        <w:tc>
          <w:tcPr>
            <w:tcW w:w="7376" w:type="dxa"/>
          </w:tcPr>
          <w:p w14:paraId="3A1B6BF9" w14:textId="645E1F12" w:rsidR="001C30FF" w:rsidRPr="00700CA9" w:rsidRDefault="002E5693" w:rsidP="003D030A">
            <w:pPr>
              <w:pStyle w:val="Table"/>
              <w:spacing w:before="60" w:after="60"/>
            </w:pPr>
            <w:r w:rsidRPr="00700CA9">
              <w:lastRenderedPageBreak/>
              <w:t xml:space="preserve">Department of Child Safety, Seniors and Disability Services </w:t>
            </w:r>
            <w:hyperlink r:id="rId69" w:history="1">
              <w:r w:rsidR="008128D2" w:rsidRPr="00700CA9">
                <w:rPr>
                  <w:rStyle w:val="Hyperlink"/>
                  <w:color w:val="2D7E7D" w:themeColor="accent6" w:themeShade="BF"/>
                </w:rPr>
                <w:t>Individuals Investment Specification</w:t>
              </w:r>
            </w:hyperlink>
            <w:r w:rsidR="008128D2" w:rsidRPr="00700CA9">
              <w:t xml:space="preserve">  </w:t>
            </w:r>
            <w:r w:rsidR="008128D2" w:rsidRPr="00700CA9">
              <w:rPr>
                <w:highlight w:val="yellow"/>
              </w:rPr>
              <w:t>(</w:t>
            </w:r>
            <w:r w:rsidR="002C2172">
              <w:rPr>
                <w:highlight w:val="yellow"/>
              </w:rPr>
              <w:t xml:space="preserve">remove </w:t>
            </w:r>
            <w:r w:rsidR="002C2172" w:rsidRPr="00700CA9">
              <w:rPr>
                <w:highlight w:val="yellow"/>
              </w:rPr>
              <w:t xml:space="preserve">if </w:t>
            </w:r>
            <w:r w:rsidR="002C2172">
              <w:rPr>
                <w:highlight w:val="yellow"/>
              </w:rPr>
              <w:t>ir</w:t>
            </w:r>
            <w:r w:rsidR="002C2172" w:rsidRPr="00700CA9">
              <w:rPr>
                <w:highlight w:val="yellow"/>
              </w:rPr>
              <w:t>relevant</w:t>
            </w:r>
            <w:r w:rsidR="008128D2" w:rsidRPr="00700CA9">
              <w:rPr>
                <w:highlight w:val="yellow"/>
              </w:rPr>
              <w:t>)</w:t>
            </w:r>
          </w:p>
          <w:p w14:paraId="627BE448" w14:textId="100D5B2D" w:rsidR="008128D2" w:rsidRPr="00700CA9" w:rsidRDefault="00333DD8" w:rsidP="003D030A">
            <w:pPr>
              <w:pStyle w:val="Table"/>
              <w:spacing w:before="60" w:after="60"/>
            </w:pPr>
            <w:r w:rsidRPr="00700CA9">
              <w:t xml:space="preserve">Department of Justice and Attorney General Individuals Investment Specification </w:t>
            </w:r>
            <w:r w:rsidR="008128D2" w:rsidRPr="00700CA9">
              <w:rPr>
                <w:highlight w:val="yellow"/>
              </w:rPr>
              <w:t>(if relevant)</w:t>
            </w:r>
          </w:p>
          <w:p w14:paraId="3D7D742A" w14:textId="2975AFDC" w:rsidR="008128D2" w:rsidRPr="00700CA9" w:rsidRDefault="00661D0C" w:rsidP="003D030A">
            <w:pPr>
              <w:pStyle w:val="Table"/>
              <w:spacing w:before="60" w:after="60"/>
            </w:pPr>
            <w:r w:rsidRPr="00700CA9">
              <w:t xml:space="preserve">Department of </w:t>
            </w:r>
            <w:r w:rsidR="00A41B0D" w:rsidRPr="00700CA9">
              <w:t xml:space="preserve">Treaty, Aboriginal and Torres Strait Islander Partnerships, </w:t>
            </w:r>
            <w:proofErr w:type="gramStart"/>
            <w:r w:rsidR="00A41B0D" w:rsidRPr="00700CA9">
              <w:t>Communities</w:t>
            </w:r>
            <w:proofErr w:type="gramEnd"/>
            <w:r w:rsidR="00A41B0D" w:rsidRPr="00700CA9">
              <w:t xml:space="preserve"> and the Arts Individuals Investment Specification</w:t>
            </w:r>
            <w:r w:rsidRPr="00700CA9">
              <w:rPr>
                <w:highlight w:val="yellow"/>
              </w:rPr>
              <w:t xml:space="preserve"> </w:t>
            </w:r>
            <w:r w:rsidR="008128D2" w:rsidRPr="00700CA9">
              <w:rPr>
                <w:highlight w:val="yellow"/>
              </w:rPr>
              <w:t>(if relevant)</w:t>
            </w:r>
          </w:p>
          <w:p w14:paraId="2E6A4530" w14:textId="4A5AA5C6" w:rsidR="008128D2" w:rsidRPr="00700CA9" w:rsidRDefault="009F0065" w:rsidP="003D030A">
            <w:pPr>
              <w:pStyle w:val="Table"/>
              <w:spacing w:before="60" w:after="60"/>
            </w:pPr>
            <w:r w:rsidRPr="00E06C13">
              <w:rPr>
                <w:highlight w:val="green"/>
              </w:rPr>
              <w:t xml:space="preserve">Add </w:t>
            </w:r>
            <w:r w:rsidR="00501985" w:rsidRPr="00E06C13">
              <w:rPr>
                <w:highlight w:val="green"/>
              </w:rPr>
              <w:t xml:space="preserve">other specifications if relevant; e.g., if providing sexual violence support, add Queensland Government </w:t>
            </w:r>
            <w:hyperlink r:id="rId70" w:history="1">
              <w:r w:rsidR="00501985" w:rsidRPr="00E06C13">
                <w:rPr>
                  <w:rStyle w:val="Hyperlink"/>
                  <w:color w:val="2D7E7D" w:themeColor="accent6" w:themeShade="BF"/>
                  <w:highlight w:val="green"/>
                </w:rPr>
                <w:t>Sexual Violence and Women’s Support Services Investment Specification</w:t>
              </w:r>
            </w:hyperlink>
          </w:p>
        </w:tc>
      </w:tr>
      <w:tr w:rsidR="00307BA8" w:rsidRPr="00700CA9" w14:paraId="58B810D6" w14:textId="77777777" w:rsidTr="00E72051">
        <w:tc>
          <w:tcPr>
            <w:tcW w:w="2547" w:type="dxa"/>
          </w:tcPr>
          <w:p w14:paraId="3B3AF0EB" w14:textId="77777777" w:rsidR="00E72051" w:rsidRDefault="00E72051" w:rsidP="00E72051">
            <w:pPr>
              <w:spacing w:before="60" w:after="60"/>
              <w:rPr>
                <w:b/>
                <w:bCs/>
              </w:rPr>
            </w:pPr>
            <w:r>
              <w:rPr>
                <w:highlight w:val="yellow"/>
              </w:rPr>
              <w:t xml:space="preserve">Delete row </w:t>
            </w:r>
            <w:r w:rsidRPr="00700CA9">
              <w:rPr>
                <w:highlight w:val="yellow"/>
              </w:rPr>
              <w:t xml:space="preserve">if not </w:t>
            </w:r>
            <w:proofErr w:type="gramStart"/>
            <w:r w:rsidRPr="00700CA9">
              <w:rPr>
                <w:highlight w:val="yellow"/>
              </w:rPr>
              <w:t>required</w:t>
            </w:r>
            <w:proofErr w:type="gramEnd"/>
          </w:p>
          <w:p w14:paraId="25040842" w14:textId="77777777" w:rsidR="00307BA8" w:rsidRPr="004B5F09" w:rsidRDefault="00307BA8" w:rsidP="003D030A">
            <w:pPr>
              <w:spacing w:before="60" w:after="60"/>
              <w:rPr>
                <w:b/>
                <w:bCs/>
              </w:rPr>
            </w:pPr>
            <w:r w:rsidRPr="004B5F09">
              <w:rPr>
                <w:b/>
                <w:bCs/>
              </w:rPr>
              <w:t>Young People</w:t>
            </w:r>
          </w:p>
          <w:p w14:paraId="423D205D" w14:textId="77777777" w:rsidR="006A0593" w:rsidRPr="00700CA9" w:rsidRDefault="006A0593" w:rsidP="003D030A">
            <w:pPr>
              <w:spacing w:before="60" w:after="60"/>
            </w:pPr>
            <w:r w:rsidRPr="00700CA9">
              <w:rPr>
                <w:i/>
                <w:iCs/>
              </w:rPr>
              <w:t>Service Stream:</w:t>
            </w:r>
            <w:r w:rsidRPr="00700CA9">
              <w:t xml:space="preserve"> Youth Services</w:t>
            </w:r>
          </w:p>
          <w:p w14:paraId="318F1E2F" w14:textId="71F1DE2C" w:rsidR="00307BA8" w:rsidRPr="00700CA9" w:rsidRDefault="006A0593" w:rsidP="003D030A">
            <w:pPr>
              <w:spacing w:before="60" w:after="60"/>
            </w:pPr>
            <w:r w:rsidRPr="00700CA9">
              <w:t>Department:</w:t>
            </w:r>
            <w:r w:rsidRPr="00700CA9">
              <w:br/>
              <w:t>DCSSDS</w:t>
            </w:r>
          </w:p>
        </w:tc>
        <w:tc>
          <w:tcPr>
            <w:tcW w:w="7376" w:type="dxa"/>
          </w:tcPr>
          <w:p w14:paraId="3283825B" w14:textId="77777777" w:rsidR="00AB5035" w:rsidRPr="00700CA9" w:rsidRDefault="00AB5035" w:rsidP="003D030A">
            <w:pPr>
              <w:pStyle w:val="Table"/>
              <w:spacing w:before="60" w:after="60"/>
              <w:rPr>
                <w:color w:val="2D7E7D" w:themeColor="accent6" w:themeShade="BF"/>
              </w:rPr>
            </w:pPr>
            <w:r w:rsidRPr="00700CA9">
              <w:t xml:space="preserve">Department of Child Safety, Seniors and Disability Services </w:t>
            </w:r>
            <w:hyperlink r:id="rId71" w:history="1">
              <w:r w:rsidRPr="00700CA9">
                <w:rPr>
                  <w:rStyle w:val="Hyperlink"/>
                  <w:color w:val="2D7E7D" w:themeColor="accent6" w:themeShade="BF"/>
                </w:rPr>
                <w:t>Service Agreement – Funding and Service Details</w:t>
              </w:r>
            </w:hyperlink>
          </w:p>
          <w:p w14:paraId="5A85C3DE" w14:textId="2E80313D" w:rsidR="00307BA8" w:rsidRPr="00700CA9" w:rsidRDefault="00CB55D8" w:rsidP="003D030A">
            <w:pPr>
              <w:pStyle w:val="Table"/>
              <w:spacing w:before="60" w:after="60"/>
            </w:pPr>
            <w:r w:rsidRPr="00700CA9">
              <w:t xml:space="preserve">Department of Child Safety, Seniors and Disability Services </w:t>
            </w:r>
            <w:hyperlink r:id="rId72" w:history="1">
              <w:r w:rsidR="00307BA8" w:rsidRPr="00700CA9">
                <w:rPr>
                  <w:rStyle w:val="Hyperlink"/>
                  <w:color w:val="2D7E7D" w:themeColor="accent6" w:themeShade="BF"/>
                </w:rPr>
                <w:t>Young People Investment Specification</w:t>
              </w:r>
            </w:hyperlink>
            <w:r w:rsidR="00307BA8" w:rsidRPr="00700CA9">
              <w:t xml:space="preserve"> </w:t>
            </w:r>
          </w:p>
        </w:tc>
      </w:tr>
      <w:tr w:rsidR="00307BA8" w:rsidRPr="00700CA9" w14:paraId="7F01B352" w14:textId="77777777" w:rsidTr="00E72051">
        <w:tc>
          <w:tcPr>
            <w:tcW w:w="2547" w:type="dxa"/>
            <w:hideMark/>
          </w:tcPr>
          <w:p w14:paraId="58E077EF" w14:textId="77777777" w:rsidR="00E72051" w:rsidRDefault="00E72051" w:rsidP="00E72051">
            <w:pPr>
              <w:spacing w:before="60" w:after="60"/>
              <w:rPr>
                <w:b/>
                <w:bCs/>
              </w:rPr>
            </w:pPr>
            <w:r>
              <w:rPr>
                <w:highlight w:val="yellow"/>
              </w:rPr>
              <w:t xml:space="preserve">Delete row </w:t>
            </w:r>
            <w:r w:rsidRPr="00700CA9">
              <w:rPr>
                <w:highlight w:val="yellow"/>
              </w:rPr>
              <w:t xml:space="preserve">if not </w:t>
            </w:r>
            <w:proofErr w:type="gramStart"/>
            <w:r w:rsidRPr="00700CA9">
              <w:rPr>
                <w:highlight w:val="yellow"/>
              </w:rPr>
              <w:t>required</w:t>
            </w:r>
            <w:proofErr w:type="gramEnd"/>
          </w:p>
          <w:p w14:paraId="324B044B" w14:textId="77777777" w:rsidR="00307BA8" w:rsidRPr="004B5F09" w:rsidRDefault="00307BA8" w:rsidP="003D030A">
            <w:pPr>
              <w:spacing w:before="60" w:after="60"/>
              <w:rPr>
                <w:b/>
                <w:bCs/>
              </w:rPr>
            </w:pPr>
            <w:r w:rsidRPr="004B5F09">
              <w:rPr>
                <w:b/>
                <w:bCs/>
              </w:rPr>
              <w:t>Disability Services</w:t>
            </w:r>
          </w:p>
          <w:p w14:paraId="02F07D27" w14:textId="15F59B01" w:rsidR="00307BA8" w:rsidRPr="00E72051" w:rsidRDefault="006A0593" w:rsidP="00E72051">
            <w:pPr>
              <w:spacing w:before="60" w:after="60"/>
              <w:rPr>
                <w:highlight w:val="yellow"/>
              </w:rPr>
            </w:pPr>
            <w:r w:rsidRPr="00700CA9">
              <w:t>Department:</w:t>
            </w:r>
            <w:r w:rsidRPr="00700CA9">
              <w:br/>
              <w:t>DCSSDS</w:t>
            </w:r>
          </w:p>
        </w:tc>
        <w:tc>
          <w:tcPr>
            <w:tcW w:w="7376" w:type="dxa"/>
            <w:hideMark/>
          </w:tcPr>
          <w:p w14:paraId="5EFDF4B8" w14:textId="24B27B99" w:rsidR="00307BA8" w:rsidRPr="00700CA9" w:rsidRDefault="009E1774" w:rsidP="003D030A">
            <w:pPr>
              <w:pStyle w:val="Table"/>
              <w:spacing w:before="60" w:after="60"/>
              <w:rPr>
                <w:i/>
                <w:iCs/>
                <w:color w:val="2D7E7D" w:themeColor="accent6" w:themeShade="BF"/>
              </w:rPr>
            </w:pPr>
            <w:hyperlink r:id="rId73" w:history="1">
              <w:r w:rsidR="00307BA8" w:rsidRPr="00700CA9">
                <w:rPr>
                  <w:rStyle w:val="Hyperlink"/>
                  <w:i/>
                  <w:iCs/>
                  <w:color w:val="2D7E7D" w:themeColor="accent6" w:themeShade="BF"/>
                </w:rPr>
                <w:t>Disability Services Act 2006</w:t>
              </w:r>
            </w:hyperlink>
          </w:p>
          <w:p w14:paraId="4FA20F7C" w14:textId="52D323EC" w:rsidR="00307BA8" w:rsidRPr="00700CA9" w:rsidRDefault="009E1774" w:rsidP="003D030A">
            <w:pPr>
              <w:pStyle w:val="Table"/>
              <w:spacing w:before="60" w:after="60"/>
            </w:pPr>
            <w:hyperlink r:id="rId74" w:history="1">
              <w:r w:rsidR="00307BA8" w:rsidRPr="00700CA9">
                <w:rPr>
                  <w:rStyle w:val="Hyperlink"/>
                  <w:i/>
                  <w:iCs/>
                  <w:color w:val="2D7E7D" w:themeColor="accent6" w:themeShade="BF"/>
                </w:rPr>
                <w:t>Coroners Act 2003</w:t>
              </w:r>
            </w:hyperlink>
            <w:r w:rsidR="00793518" w:rsidRPr="00700CA9">
              <w:t xml:space="preserve"> (reporting requirements)</w:t>
            </w:r>
          </w:p>
          <w:p w14:paraId="1738F452" w14:textId="75512DC7" w:rsidR="00307BA8" w:rsidRPr="00700CA9" w:rsidRDefault="007A367D" w:rsidP="003D030A">
            <w:pPr>
              <w:pStyle w:val="Table"/>
              <w:spacing w:before="60" w:after="60"/>
            </w:pPr>
            <w:r w:rsidRPr="00700CA9">
              <w:t>Coroners Court of</w:t>
            </w:r>
            <w:r w:rsidR="002E0A39">
              <w:t xml:space="preserve"> Queensland</w:t>
            </w:r>
            <w:r w:rsidRPr="00700CA9">
              <w:t xml:space="preserve"> </w:t>
            </w:r>
            <w:hyperlink r:id="rId75" w:history="1">
              <w:r w:rsidRPr="002E0A39">
                <w:rPr>
                  <w:rStyle w:val="Hyperlink"/>
                  <w:color w:val="2D7E7D" w:themeColor="accent6" w:themeShade="BF"/>
                </w:rPr>
                <w:t>Deaths in Disability Care</w:t>
              </w:r>
            </w:hyperlink>
          </w:p>
        </w:tc>
      </w:tr>
      <w:tr w:rsidR="00307BA8" w:rsidRPr="00700CA9" w14:paraId="4EBF5CE7" w14:textId="77777777" w:rsidTr="00E72051">
        <w:tc>
          <w:tcPr>
            <w:tcW w:w="2547" w:type="dxa"/>
            <w:hideMark/>
          </w:tcPr>
          <w:p w14:paraId="0A482CD0" w14:textId="77777777" w:rsidR="00E72051" w:rsidRDefault="00E72051" w:rsidP="00E72051">
            <w:pPr>
              <w:spacing w:before="60" w:after="60"/>
              <w:rPr>
                <w:b/>
                <w:bCs/>
              </w:rPr>
            </w:pPr>
            <w:r>
              <w:rPr>
                <w:highlight w:val="yellow"/>
              </w:rPr>
              <w:t xml:space="preserve">Delete row </w:t>
            </w:r>
            <w:r w:rsidRPr="00700CA9">
              <w:rPr>
                <w:highlight w:val="yellow"/>
              </w:rPr>
              <w:t xml:space="preserve">if not </w:t>
            </w:r>
            <w:proofErr w:type="gramStart"/>
            <w:r w:rsidRPr="00700CA9">
              <w:rPr>
                <w:highlight w:val="yellow"/>
              </w:rPr>
              <w:t>required</w:t>
            </w:r>
            <w:proofErr w:type="gramEnd"/>
          </w:p>
          <w:p w14:paraId="7F494034" w14:textId="77777777" w:rsidR="00307BA8" w:rsidRPr="004B5F09" w:rsidRDefault="00307BA8" w:rsidP="003D030A">
            <w:pPr>
              <w:spacing w:before="60" w:after="60"/>
              <w:rPr>
                <w:b/>
                <w:bCs/>
              </w:rPr>
            </w:pPr>
            <w:r w:rsidRPr="004B5F09">
              <w:rPr>
                <w:b/>
                <w:bCs/>
              </w:rPr>
              <w:t>Mental Health</w:t>
            </w:r>
          </w:p>
          <w:p w14:paraId="38310EFD" w14:textId="335CA9FC" w:rsidR="00307BA8" w:rsidRPr="00E72051" w:rsidRDefault="006A0593" w:rsidP="00E72051">
            <w:pPr>
              <w:spacing w:before="60" w:after="60"/>
              <w:rPr>
                <w:highlight w:val="yellow"/>
              </w:rPr>
            </w:pPr>
            <w:r w:rsidRPr="00700CA9">
              <w:rPr>
                <w:i/>
                <w:iCs/>
              </w:rPr>
              <w:t>Department:</w:t>
            </w:r>
            <w:r w:rsidRPr="00700CA9">
              <w:br/>
              <w:t>Queensland Health</w:t>
            </w:r>
          </w:p>
        </w:tc>
        <w:tc>
          <w:tcPr>
            <w:tcW w:w="7376" w:type="dxa"/>
            <w:hideMark/>
          </w:tcPr>
          <w:p w14:paraId="4D18E2BD" w14:textId="06A53458" w:rsidR="00307BA8" w:rsidRPr="00700CA9" w:rsidRDefault="00821263" w:rsidP="003D030A">
            <w:pPr>
              <w:pStyle w:val="Table"/>
              <w:spacing w:before="60" w:after="60"/>
            </w:pPr>
            <w:r w:rsidRPr="00700CA9">
              <w:t>Queensland Government</w:t>
            </w:r>
            <w:r w:rsidR="00AB4A96" w:rsidRPr="00700CA9">
              <w:t xml:space="preserve"> </w:t>
            </w:r>
            <w:hyperlink r:id="rId76" w:history="1">
              <w:r w:rsidRPr="002E0A39">
                <w:rPr>
                  <w:rStyle w:val="Hyperlink"/>
                  <w:color w:val="2D7E7D" w:themeColor="accent6" w:themeShade="BF"/>
                </w:rPr>
                <w:t>A Recovery Approach to Mental Health and Illness</w:t>
              </w:r>
            </w:hyperlink>
            <w:r w:rsidR="00AB4A96" w:rsidRPr="002E0A39">
              <w:rPr>
                <w:rStyle w:val="FootnoteReference"/>
                <w:color w:val="2D7E7D" w:themeColor="accent6" w:themeShade="BF"/>
              </w:rPr>
              <w:footnoteReference w:id="5"/>
            </w:r>
          </w:p>
        </w:tc>
      </w:tr>
      <w:tr w:rsidR="00307BA8" w:rsidRPr="00700CA9" w14:paraId="2DB5E887" w14:textId="77777777" w:rsidTr="00E72051">
        <w:tc>
          <w:tcPr>
            <w:tcW w:w="2547" w:type="dxa"/>
            <w:hideMark/>
          </w:tcPr>
          <w:p w14:paraId="04F207A3" w14:textId="77777777" w:rsidR="00E72051" w:rsidRDefault="00E72051" w:rsidP="00E72051">
            <w:pPr>
              <w:spacing w:before="60" w:after="60"/>
              <w:rPr>
                <w:b/>
                <w:bCs/>
              </w:rPr>
            </w:pPr>
            <w:r>
              <w:rPr>
                <w:highlight w:val="yellow"/>
              </w:rPr>
              <w:t xml:space="preserve">Delete row </w:t>
            </w:r>
            <w:r w:rsidRPr="00700CA9">
              <w:rPr>
                <w:highlight w:val="yellow"/>
              </w:rPr>
              <w:t xml:space="preserve">if not </w:t>
            </w:r>
            <w:proofErr w:type="gramStart"/>
            <w:r w:rsidRPr="00700CA9">
              <w:rPr>
                <w:highlight w:val="yellow"/>
              </w:rPr>
              <w:t>required</w:t>
            </w:r>
            <w:proofErr w:type="gramEnd"/>
          </w:p>
          <w:p w14:paraId="1E5BE781" w14:textId="77777777" w:rsidR="00307BA8" w:rsidRPr="004B5F09" w:rsidRDefault="00307BA8" w:rsidP="003D030A">
            <w:pPr>
              <w:spacing w:before="60" w:after="60"/>
              <w:rPr>
                <w:b/>
                <w:bCs/>
              </w:rPr>
            </w:pPr>
            <w:r w:rsidRPr="004B5F09">
              <w:rPr>
                <w:b/>
                <w:bCs/>
              </w:rPr>
              <w:t>Alcohol &amp; Other Drugs</w:t>
            </w:r>
          </w:p>
          <w:p w14:paraId="46CD14AF" w14:textId="4E45CB5D" w:rsidR="00307BA8" w:rsidRPr="00E72051" w:rsidRDefault="006A0593" w:rsidP="00E72051">
            <w:pPr>
              <w:spacing w:before="60" w:after="60"/>
              <w:rPr>
                <w:highlight w:val="yellow"/>
              </w:rPr>
            </w:pPr>
            <w:r w:rsidRPr="00700CA9">
              <w:rPr>
                <w:i/>
                <w:iCs/>
              </w:rPr>
              <w:t>Department:</w:t>
            </w:r>
            <w:r w:rsidRPr="00700CA9">
              <w:br/>
              <w:t>Queensland Health</w:t>
            </w:r>
          </w:p>
        </w:tc>
        <w:tc>
          <w:tcPr>
            <w:tcW w:w="7376" w:type="dxa"/>
            <w:hideMark/>
          </w:tcPr>
          <w:p w14:paraId="449F48BA" w14:textId="2DA5A96E" w:rsidR="00307BA8" w:rsidRPr="00700CA9" w:rsidRDefault="0064706C" w:rsidP="003D030A">
            <w:pPr>
              <w:pStyle w:val="Table"/>
              <w:spacing w:before="60" w:after="60"/>
              <w:rPr>
                <w:i/>
              </w:rPr>
            </w:pPr>
            <w:r w:rsidRPr="00700CA9">
              <w:t xml:space="preserve">Australian Government </w:t>
            </w:r>
            <w:hyperlink r:id="rId77" w:history="1">
              <w:r w:rsidR="00307BA8" w:rsidRPr="00700CA9">
                <w:rPr>
                  <w:rStyle w:val="Hyperlink"/>
                  <w:color w:val="2D7E7D" w:themeColor="accent6" w:themeShade="BF"/>
                </w:rPr>
                <w:t>National Quality Framework for Drug and Alcohol Treatment Services</w:t>
              </w:r>
            </w:hyperlink>
          </w:p>
        </w:tc>
      </w:tr>
    </w:tbl>
    <w:p w14:paraId="3299717D" w14:textId="77777777" w:rsidR="0022039C" w:rsidRDefault="0022039C" w:rsidP="003D030A">
      <w:pPr>
        <w:pStyle w:val="Heading1"/>
        <w:rPr>
          <w:rFonts w:eastAsia="Muli"/>
        </w:rPr>
      </w:pPr>
      <w:r w:rsidRPr="00700CA9">
        <w:rPr>
          <w:rFonts w:eastAsia="Muli"/>
        </w:rPr>
        <w:t>Definitions</w:t>
      </w:r>
    </w:p>
    <w:p w14:paraId="7CC6CAF9" w14:textId="5A6E115D" w:rsidR="00437C17" w:rsidRDefault="00437C17" w:rsidP="00A459EE">
      <w:pPr>
        <w:ind w:left="709" w:hanging="709"/>
      </w:pPr>
      <w:r>
        <w:rPr>
          <w:b/>
          <w:bCs/>
        </w:rPr>
        <w:t>Accountability:</w:t>
      </w:r>
      <w:r>
        <w:t xml:space="preserve"> </w:t>
      </w:r>
      <w:r w:rsidR="00C642F9">
        <w:t>Taking responsibility for decision-making with clarity and in good faith.</w:t>
      </w:r>
    </w:p>
    <w:p w14:paraId="5D998732" w14:textId="3CC5CE6C" w:rsidR="00437C17" w:rsidRDefault="00437C17" w:rsidP="00A459EE">
      <w:pPr>
        <w:ind w:left="709" w:hanging="709"/>
      </w:pPr>
      <w:r>
        <w:rPr>
          <w:b/>
          <w:bCs/>
        </w:rPr>
        <w:t>Compliance:</w:t>
      </w:r>
      <w:r>
        <w:t xml:space="preserve"> </w:t>
      </w:r>
      <w:r w:rsidR="00C2277C">
        <w:t xml:space="preserve">Ensuring that organisational decisions and actions meet all </w:t>
      </w:r>
      <w:r w:rsidR="00FD2DD9">
        <w:t xml:space="preserve">relevant </w:t>
      </w:r>
      <w:r w:rsidR="003A4EDF">
        <w:t xml:space="preserve">legal, </w:t>
      </w:r>
      <w:proofErr w:type="gramStart"/>
      <w:r w:rsidR="003A4EDF">
        <w:t>regulatory</w:t>
      </w:r>
      <w:proofErr w:type="gramEnd"/>
      <w:r w:rsidR="003A4EDF">
        <w:t xml:space="preserve"> and ethical standards and requirements.</w:t>
      </w:r>
    </w:p>
    <w:p w14:paraId="230F963E" w14:textId="68067BBB" w:rsidR="007549DD" w:rsidRPr="007549DD" w:rsidRDefault="007549DD" w:rsidP="00A459EE">
      <w:pPr>
        <w:ind w:left="709" w:hanging="709"/>
      </w:pPr>
      <w:r w:rsidRPr="007549DD">
        <w:rPr>
          <w:b/>
          <w:bCs/>
        </w:rPr>
        <w:t xml:space="preserve">Conflict of interest: </w:t>
      </w:r>
      <w:r>
        <w:t xml:space="preserve">Where </w:t>
      </w:r>
      <w:r w:rsidR="00B863DB">
        <w:t xml:space="preserve">a member of the governance body has the potential to </w:t>
      </w:r>
      <w:proofErr w:type="gramStart"/>
      <w:r w:rsidR="00B863DB">
        <w:t>personally, professionally or financially benefit from an organisational decision</w:t>
      </w:r>
      <w:proofErr w:type="gramEnd"/>
      <w:r w:rsidR="00B863DB">
        <w:t xml:space="preserve"> or where it could be perceived that such an interest exists.</w:t>
      </w:r>
    </w:p>
    <w:p w14:paraId="57B28888" w14:textId="26B9FA44" w:rsidR="00C374A5" w:rsidRPr="00C374A5" w:rsidRDefault="00C374A5" w:rsidP="00A459EE">
      <w:pPr>
        <w:ind w:left="709" w:hanging="709"/>
      </w:pPr>
      <w:r>
        <w:rPr>
          <w:b/>
          <w:bCs/>
        </w:rPr>
        <w:t>Governance:</w:t>
      </w:r>
      <w:r>
        <w:t xml:space="preserve"> The</w:t>
      </w:r>
      <w:r w:rsidR="002550E1">
        <w:t xml:space="preserve"> framework set for and oversight of accountability and compliance within the organisation.</w:t>
      </w:r>
    </w:p>
    <w:p w14:paraId="5B686D1F" w14:textId="1A07E501" w:rsidR="002B7BF5" w:rsidRDefault="002B7BF5" w:rsidP="00A459EE">
      <w:pPr>
        <w:ind w:left="709" w:hanging="709"/>
      </w:pPr>
      <w:r w:rsidRPr="002B7BF5">
        <w:rPr>
          <w:b/>
          <w:bCs/>
        </w:rPr>
        <w:lastRenderedPageBreak/>
        <w:t>Governance body:</w:t>
      </w:r>
      <w:r w:rsidRPr="002B7BF5">
        <w:t xml:space="preserve"> The</w:t>
      </w:r>
      <w:r w:rsidR="0011279C" w:rsidRPr="0011279C">
        <w:t xml:space="preserve"> group </w:t>
      </w:r>
      <w:r w:rsidR="0011279C">
        <w:t xml:space="preserve">responsible for making decisions about the organisation and which takes responsibility for oversight of operations, the financial viability of the organisation, and the organisation’s compliance with legal and contractual obligations. Also called </w:t>
      </w:r>
      <w:r w:rsidR="0011279C">
        <w:rPr>
          <w:b/>
          <w:bCs/>
        </w:rPr>
        <w:t>responsible people</w:t>
      </w:r>
      <w:r w:rsidR="0011279C">
        <w:t>.</w:t>
      </w:r>
    </w:p>
    <w:p w14:paraId="009C8C4E" w14:textId="4A107701" w:rsidR="000A7803" w:rsidRPr="00253D86" w:rsidRDefault="000A7803" w:rsidP="00A459EE">
      <w:pPr>
        <w:ind w:left="709" w:hanging="709"/>
      </w:pPr>
      <w:r w:rsidRPr="000A7803">
        <w:rPr>
          <w:b/>
          <w:bCs/>
        </w:rPr>
        <w:t xml:space="preserve">Governing document: </w:t>
      </w:r>
      <w:r>
        <w:t xml:space="preserve">The organisation’s </w:t>
      </w:r>
      <w:r w:rsidR="00253D86">
        <w:t>foundational guidance document, setting out its purpose and key processes. Also called</w:t>
      </w:r>
      <w:r w:rsidR="00853B6B">
        <w:t xml:space="preserve"> a</w:t>
      </w:r>
      <w:r w:rsidR="00253D86">
        <w:t xml:space="preserve"> </w:t>
      </w:r>
      <w:r w:rsidR="00853B6B">
        <w:rPr>
          <w:b/>
          <w:bCs/>
        </w:rPr>
        <w:t>constitution</w:t>
      </w:r>
      <w:r w:rsidR="00853B6B">
        <w:t>,</w:t>
      </w:r>
      <w:r w:rsidR="00853B6B">
        <w:rPr>
          <w:b/>
          <w:bCs/>
        </w:rPr>
        <w:t xml:space="preserve"> </w:t>
      </w:r>
      <w:r w:rsidR="00253D86">
        <w:rPr>
          <w:b/>
          <w:bCs/>
        </w:rPr>
        <w:t>rules</w:t>
      </w:r>
      <w:r w:rsidR="00253D86">
        <w:t xml:space="preserve">, or </w:t>
      </w:r>
      <w:r w:rsidR="00253D86" w:rsidRPr="00253D86">
        <w:rPr>
          <w:b/>
          <w:bCs/>
        </w:rPr>
        <w:t>trust</w:t>
      </w:r>
      <w:r w:rsidR="00253D86">
        <w:t xml:space="preserve"> </w:t>
      </w:r>
      <w:r w:rsidR="00253D86">
        <w:rPr>
          <w:b/>
          <w:bCs/>
        </w:rPr>
        <w:t>deed</w:t>
      </w:r>
      <w:r w:rsidR="00253D86">
        <w:t>.</w:t>
      </w:r>
    </w:p>
    <w:p w14:paraId="03789DEC" w14:textId="76FE8EBA" w:rsidR="002B7BF5" w:rsidRDefault="002B7BF5" w:rsidP="00A459EE">
      <w:pPr>
        <w:spacing w:before="60" w:after="60"/>
        <w:ind w:left="709" w:hanging="709"/>
        <w:rPr>
          <w:rStyle w:val="Hyperlink"/>
        </w:rPr>
      </w:pPr>
      <w:r>
        <w:rPr>
          <w:b/>
          <w:bCs/>
        </w:rPr>
        <w:t>Misconduct:</w:t>
      </w:r>
      <w:r w:rsidR="00D140B2">
        <w:t xml:space="preserve"> Actions that are inconsistent with the requirements of a role. Serious misconduct includes actions that pose imminent risks to others, fraud</w:t>
      </w:r>
      <w:r w:rsidR="00690C4E">
        <w:t>, undertaking work while intoxicated</w:t>
      </w:r>
      <w:r w:rsidR="00AE0470">
        <w:t xml:space="preserve">, sexual harassment, and refusing to undertake lawful and reasonable instruction that is consistent with </w:t>
      </w:r>
      <w:r w:rsidR="007F3450">
        <w:t>the contracted role within which the person is working. Misconduct may or may not be unlawful/illegal.</w:t>
      </w:r>
      <w:r w:rsidR="007F3450">
        <w:rPr>
          <w:rStyle w:val="Hyperlink"/>
        </w:rPr>
        <w:t xml:space="preserve"> </w:t>
      </w:r>
    </w:p>
    <w:p w14:paraId="5B6D7D1A" w14:textId="25534B3A" w:rsidR="00E472DB" w:rsidRDefault="00E472DB" w:rsidP="00A459EE">
      <w:pPr>
        <w:ind w:left="709" w:hanging="709"/>
      </w:pPr>
      <w:r>
        <w:rPr>
          <w:b/>
          <w:bCs/>
        </w:rPr>
        <w:t>Operations:</w:t>
      </w:r>
      <w:r>
        <w:t xml:space="preserve"> The</w:t>
      </w:r>
      <w:r w:rsidR="00A212FE">
        <w:t xml:space="preserve"> </w:t>
      </w:r>
      <w:r w:rsidR="00B654AF">
        <w:t xml:space="preserve">administration of an organisation or business activity; in the community sector, operations </w:t>
      </w:r>
      <w:proofErr w:type="gramStart"/>
      <w:r w:rsidR="00B654AF">
        <w:t>includes</w:t>
      </w:r>
      <w:proofErr w:type="gramEnd"/>
      <w:r w:rsidR="00B654AF">
        <w:t xml:space="preserve"> all service delivery and the administrative and management required to support this.</w:t>
      </w:r>
    </w:p>
    <w:p w14:paraId="122D0D9E" w14:textId="08CFD9EC" w:rsidR="00C374A5" w:rsidRPr="00860B2A" w:rsidRDefault="00DF757D" w:rsidP="00A459EE">
      <w:pPr>
        <w:ind w:left="709" w:hanging="709"/>
      </w:pPr>
      <w:r>
        <w:rPr>
          <w:b/>
          <w:bCs/>
        </w:rPr>
        <w:t>Serious</w:t>
      </w:r>
      <w:r w:rsidR="00C374A5" w:rsidRPr="00C374A5">
        <w:rPr>
          <w:b/>
          <w:bCs/>
        </w:rPr>
        <w:t xml:space="preserve"> incident:</w:t>
      </w:r>
      <w:r w:rsidR="00C374A5">
        <w:t xml:space="preserve"> A</w:t>
      </w:r>
      <w:r w:rsidR="004E6BBE">
        <w:t>n event</w:t>
      </w:r>
      <w:r w:rsidR="00860B2A">
        <w:t xml:space="preserve"> or action that results in serious harm, poses a serious </w:t>
      </w:r>
      <w:proofErr w:type="gramStart"/>
      <w:r w:rsidR="00860B2A">
        <w:t>risk</w:t>
      </w:r>
      <w:proofErr w:type="gramEnd"/>
      <w:r w:rsidR="00860B2A">
        <w:t xml:space="preserve"> or is otherwise listed as </w:t>
      </w:r>
      <w:r w:rsidR="001576F6" w:rsidRPr="001576F6">
        <w:rPr>
          <w:b/>
          <w:bCs/>
        </w:rPr>
        <w:t>major</w:t>
      </w:r>
      <w:r w:rsidR="001576F6">
        <w:t xml:space="preserve">, </w:t>
      </w:r>
      <w:r w:rsidR="001576F6">
        <w:rPr>
          <w:b/>
          <w:bCs/>
        </w:rPr>
        <w:t>notifiable</w:t>
      </w:r>
      <w:r w:rsidR="001576F6">
        <w:t xml:space="preserve"> or </w:t>
      </w:r>
      <w:r w:rsidR="00860B2A">
        <w:rPr>
          <w:b/>
          <w:bCs/>
        </w:rPr>
        <w:t>reportable</w:t>
      </w:r>
      <w:r w:rsidR="00860B2A">
        <w:t xml:space="preserve"> in a contract or under the standards/regulations that apply to the organisation.</w:t>
      </w:r>
      <w:r>
        <w:t xml:space="preserve"> Serious incidents include those that cause or risking causing harm to employees, volunteers, clients, or community members.</w:t>
      </w:r>
    </w:p>
    <w:p w14:paraId="37B4F6D8" w14:textId="0065252F" w:rsidR="00437C17" w:rsidRPr="002B7BF5" w:rsidRDefault="00437C17" w:rsidP="003D030A">
      <w:r w:rsidRPr="00727ED6">
        <w:rPr>
          <w:highlight w:val="green"/>
        </w:rPr>
        <w:t>Add definitions relevant to your organisation</w:t>
      </w:r>
      <w:r w:rsidR="00727ED6" w:rsidRPr="00727ED6">
        <w:rPr>
          <w:highlight w:val="green"/>
        </w:rPr>
        <w:t>’s governance.</w:t>
      </w:r>
    </w:p>
    <w:p w14:paraId="228A5E6F" w14:textId="5F122D1B" w:rsidR="0022039C" w:rsidRPr="00700CA9" w:rsidRDefault="0022039C" w:rsidP="003D030A">
      <w:pPr>
        <w:pStyle w:val="Heading1"/>
        <w:rPr>
          <w:rFonts w:eastAsia="Muli"/>
          <w:szCs w:val="36"/>
        </w:rPr>
      </w:pPr>
      <w:r w:rsidRPr="00700CA9">
        <w:rPr>
          <w:rFonts w:eastAsia="Muli"/>
        </w:rPr>
        <w:t xml:space="preserve">Governance Principles </w:t>
      </w:r>
    </w:p>
    <w:p w14:paraId="31559D7B" w14:textId="30EE8DA5" w:rsidR="0022039C" w:rsidRPr="00700CA9" w:rsidRDefault="0022039C" w:rsidP="003D030A">
      <w:r w:rsidRPr="00700CA9">
        <w:t xml:space="preserve">The principles that support </w:t>
      </w:r>
      <w:r w:rsidR="00C31CAD" w:rsidRPr="002C2172">
        <w:rPr>
          <w:highlight w:val="yellow"/>
        </w:rPr>
        <w:t>o</w:t>
      </w:r>
      <w:r w:rsidRPr="002C2172">
        <w:rPr>
          <w:highlight w:val="yellow"/>
        </w:rPr>
        <w:t>rganisation</w:t>
      </w:r>
      <w:r w:rsidR="00D516D3" w:rsidRPr="00700CA9">
        <w:t>’s</w:t>
      </w:r>
      <w:r w:rsidRPr="00700CA9">
        <w:t xml:space="preserve"> Governance Policy</w:t>
      </w:r>
      <w:r w:rsidR="00D516D3" w:rsidRPr="00700CA9">
        <w:t xml:space="preserve"> and</w:t>
      </w:r>
      <w:r w:rsidRPr="00700CA9">
        <w:t xml:space="preserve"> Procedure</w:t>
      </w:r>
      <w:r w:rsidR="00D516D3" w:rsidRPr="00700CA9">
        <w:t xml:space="preserve">s, and associated </w:t>
      </w:r>
      <w:r w:rsidRPr="00700CA9">
        <w:t>practice</w:t>
      </w:r>
      <w:r w:rsidR="00D516D3" w:rsidRPr="00700CA9">
        <w:t>s,</w:t>
      </w:r>
      <w:r w:rsidRPr="00700CA9">
        <w:t xml:space="preserve"> are:</w:t>
      </w:r>
    </w:p>
    <w:p w14:paraId="3C874F03" w14:textId="3852D775" w:rsidR="0022039C" w:rsidRPr="00700CA9" w:rsidRDefault="0022039C" w:rsidP="00F85279">
      <w:pPr>
        <w:pStyle w:val="Bulletlist"/>
      </w:pPr>
      <w:r w:rsidRPr="00700CA9">
        <w:rPr>
          <w:b/>
          <w:bCs/>
        </w:rPr>
        <w:t>Safe</w:t>
      </w:r>
      <w:r w:rsidR="00D516D3" w:rsidRPr="00700CA9">
        <w:t>:</w:t>
      </w:r>
      <w:r w:rsidRPr="00700CA9">
        <w:t xml:space="preserve"> </w:t>
      </w:r>
      <w:r w:rsidR="00D516D3" w:rsidRPr="00700CA9">
        <w:t>S</w:t>
      </w:r>
      <w:r w:rsidRPr="00700CA9">
        <w:t>ervices promote the safety, wellbeing, and best interests of our clients</w:t>
      </w:r>
      <w:r w:rsidR="00D516D3" w:rsidRPr="00700CA9">
        <w:t>.</w:t>
      </w:r>
    </w:p>
    <w:p w14:paraId="2DEF07AF" w14:textId="4B18FF93" w:rsidR="0022039C" w:rsidRPr="00700CA9" w:rsidRDefault="0022039C" w:rsidP="00F85279">
      <w:pPr>
        <w:pStyle w:val="Bulletlist"/>
      </w:pPr>
      <w:r w:rsidRPr="00700CA9">
        <w:rPr>
          <w:b/>
          <w:bCs/>
        </w:rPr>
        <w:t>Ethical</w:t>
      </w:r>
      <w:r w:rsidR="00D516D3" w:rsidRPr="00700CA9">
        <w:t>:</w:t>
      </w:r>
      <w:r w:rsidRPr="00700CA9">
        <w:t xml:space="preserve"> </w:t>
      </w:r>
      <w:r w:rsidR="00D516D3" w:rsidRPr="00700CA9">
        <w:t>S</w:t>
      </w:r>
      <w:r w:rsidRPr="00700CA9">
        <w:t>ervices are guided by transparent decision-making processes</w:t>
      </w:r>
      <w:r w:rsidR="00D516D3" w:rsidRPr="00700CA9">
        <w:t>.</w:t>
      </w:r>
    </w:p>
    <w:p w14:paraId="4606A1C9" w14:textId="6A204FBE" w:rsidR="0022039C" w:rsidRPr="00700CA9" w:rsidRDefault="0022039C" w:rsidP="00F85279">
      <w:pPr>
        <w:pStyle w:val="Bulletlist"/>
      </w:pPr>
      <w:r w:rsidRPr="00700CA9">
        <w:rPr>
          <w:b/>
          <w:bCs/>
        </w:rPr>
        <w:t>Equitabl</w:t>
      </w:r>
      <w:r w:rsidR="00D516D3" w:rsidRPr="00700CA9">
        <w:rPr>
          <w:b/>
          <w:bCs/>
        </w:rPr>
        <w:t>e:</w:t>
      </w:r>
      <w:r w:rsidRPr="00700CA9">
        <w:t xml:space="preserve"> </w:t>
      </w:r>
      <w:r w:rsidR="00D516D3" w:rsidRPr="00700CA9">
        <w:t>G</w:t>
      </w:r>
      <w:r w:rsidRPr="00700CA9">
        <w:t>overnance and management systems, procedures and practices are fair and inclusive</w:t>
      </w:r>
      <w:r w:rsidR="00D516D3" w:rsidRPr="00700CA9">
        <w:t>.</w:t>
      </w:r>
    </w:p>
    <w:p w14:paraId="0779745D" w14:textId="39A660A9" w:rsidR="0022039C" w:rsidRPr="00700CA9" w:rsidRDefault="0022039C" w:rsidP="00F85279">
      <w:pPr>
        <w:pStyle w:val="Bulletlist"/>
      </w:pPr>
      <w:r w:rsidRPr="00700CA9">
        <w:rPr>
          <w:b/>
          <w:bCs/>
        </w:rPr>
        <w:t>Experienced</w:t>
      </w:r>
      <w:r w:rsidR="00DD314A" w:rsidRPr="00700CA9">
        <w:rPr>
          <w:b/>
          <w:bCs/>
        </w:rPr>
        <w:t>:</w:t>
      </w:r>
      <w:r w:rsidRPr="00700CA9">
        <w:t xml:space="preserve"> </w:t>
      </w:r>
      <w:r w:rsidR="00D516D3" w:rsidRPr="00700CA9">
        <w:t>T</w:t>
      </w:r>
      <w:r w:rsidRPr="00700CA9">
        <w:t>he governance and management team are appropriately skilled and qualified to oversee and manage our organisation.</w:t>
      </w:r>
    </w:p>
    <w:p w14:paraId="5971CD2E" w14:textId="5E928EE0" w:rsidR="0022039C" w:rsidRPr="00700CA9" w:rsidRDefault="0022039C" w:rsidP="003D030A">
      <w:pPr>
        <w:pStyle w:val="Heading1"/>
        <w:rPr>
          <w:rFonts w:eastAsia="Muli"/>
        </w:rPr>
      </w:pPr>
      <w:bookmarkStart w:id="5" w:name="_heading=h.i8ijn3jepwpn"/>
      <w:bookmarkEnd w:id="5"/>
      <w:r w:rsidRPr="00700CA9">
        <w:rPr>
          <w:rFonts w:eastAsia="Muli"/>
        </w:rPr>
        <w:t>Procedure</w:t>
      </w:r>
      <w:r w:rsidR="00420A07" w:rsidRPr="00700CA9">
        <w:rPr>
          <w:rFonts w:eastAsia="Muli"/>
        </w:rPr>
        <w:t>s</w:t>
      </w:r>
    </w:p>
    <w:p w14:paraId="7DD93CCB" w14:textId="77777777" w:rsidR="0022039C" w:rsidRPr="00F916BB" w:rsidRDefault="0022039C" w:rsidP="003D030A">
      <w:r w:rsidRPr="00F916BB">
        <w:t>Our governance and management are supported by:</w:t>
      </w:r>
    </w:p>
    <w:p w14:paraId="11FE24D8" w14:textId="55F313B2" w:rsidR="0022039C" w:rsidRPr="00700CA9" w:rsidRDefault="0022039C" w:rsidP="0098373A">
      <w:pPr>
        <w:pStyle w:val="Bulletlist"/>
      </w:pPr>
      <w:r w:rsidRPr="00700CA9">
        <w:t>Robust monitoring processes that support our ongoing compliance and highlight our commitment to quality</w:t>
      </w:r>
      <w:r w:rsidR="00807BEE" w:rsidRPr="00700CA9">
        <w:t xml:space="preserve"> service provision.</w:t>
      </w:r>
    </w:p>
    <w:p w14:paraId="5DD837ED" w14:textId="394C105B" w:rsidR="0022039C" w:rsidRPr="003E2610" w:rsidRDefault="0022039C" w:rsidP="0098373A">
      <w:pPr>
        <w:pStyle w:val="Bulletlist"/>
      </w:pPr>
      <w:r w:rsidRPr="00700CA9">
        <w:t>P</w:t>
      </w:r>
      <w:r w:rsidR="00807BEE" w:rsidRPr="00700CA9">
        <w:t>rocedures and p</w:t>
      </w:r>
      <w:r w:rsidRPr="00700CA9">
        <w:t xml:space="preserve">rocesses that articulate how we comply with all relevant legislation, regulations, </w:t>
      </w:r>
      <w:r w:rsidR="00807BEE" w:rsidRPr="00700CA9">
        <w:t xml:space="preserve">this </w:t>
      </w:r>
      <w:proofErr w:type="gramStart"/>
      <w:r w:rsidR="00807BEE" w:rsidRPr="003E2610">
        <w:t>p</w:t>
      </w:r>
      <w:r w:rsidRPr="003E2610">
        <w:t>olicy</w:t>
      </w:r>
      <w:proofErr w:type="gramEnd"/>
      <w:r w:rsidRPr="003E2610">
        <w:t xml:space="preserve"> and contractual requirements</w:t>
      </w:r>
      <w:r w:rsidR="00807BEE" w:rsidRPr="003E2610">
        <w:t>.</w:t>
      </w:r>
    </w:p>
    <w:p w14:paraId="4AE6678C" w14:textId="527798B0" w:rsidR="0022039C" w:rsidRPr="003E2610" w:rsidRDefault="0022039C" w:rsidP="0098373A">
      <w:pPr>
        <w:pStyle w:val="Bulletlist"/>
      </w:pPr>
      <w:r w:rsidRPr="003E2610">
        <w:t>Processes that support compliance with the requirements and terms and conditions of our licensing requirements</w:t>
      </w:r>
      <w:r w:rsidR="00A52201" w:rsidRPr="003E2610">
        <w:t xml:space="preserve"> </w:t>
      </w:r>
      <w:r w:rsidR="00A52201" w:rsidRPr="003E2610">
        <w:rPr>
          <w:highlight w:val="yellow"/>
        </w:rPr>
        <w:t>(r</w:t>
      </w:r>
      <w:r w:rsidRPr="003E2610">
        <w:rPr>
          <w:highlight w:val="yellow"/>
        </w:rPr>
        <w:t>emove if not a licensed placement service</w:t>
      </w:r>
      <w:r w:rsidR="00A52201" w:rsidRPr="003E2610">
        <w:rPr>
          <w:highlight w:val="yellow"/>
        </w:rPr>
        <w:t>)</w:t>
      </w:r>
      <w:r w:rsidR="00A52201" w:rsidRPr="003E2610">
        <w:t>.</w:t>
      </w:r>
    </w:p>
    <w:p w14:paraId="041F47A5" w14:textId="72097238" w:rsidR="0022039C" w:rsidRPr="00A03A51" w:rsidRDefault="0022039C" w:rsidP="0098373A">
      <w:pPr>
        <w:pStyle w:val="Bulletlist"/>
      </w:pPr>
      <w:r w:rsidRPr="003E2610">
        <w:t xml:space="preserve">An organisational culture that </w:t>
      </w:r>
      <w:r w:rsidR="002D089D" w:rsidRPr="003E2610">
        <w:t>supports ethical practice and</w:t>
      </w:r>
      <w:r w:rsidR="002D089D" w:rsidRPr="00700CA9">
        <w:t xml:space="preserve"> which </w:t>
      </w:r>
      <w:r w:rsidRPr="00700CA9">
        <w:t xml:space="preserve">respects and protects human rights consistent with the requirements of the </w:t>
      </w:r>
      <w:r w:rsidRPr="00700CA9">
        <w:rPr>
          <w:i/>
        </w:rPr>
        <w:t>Human Rights Act 2019</w:t>
      </w:r>
      <w:r w:rsidR="002D089D" w:rsidRPr="00700CA9">
        <w:rPr>
          <w:iCs/>
        </w:rPr>
        <w:t>.</w:t>
      </w:r>
    </w:p>
    <w:p w14:paraId="07DB5339" w14:textId="31CFDAAC" w:rsidR="00A03A51" w:rsidRPr="00700CA9" w:rsidRDefault="00A03A51" w:rsidP="0098373A">
      <w:pPr>
        <w:pStyle w:val="Bulletlist"/>
      </w:pPr>
      <w:r>
        <w:rPr>
          <w:iCs/>
        </w:rPr>
        <w:t>A commitment to culturally safe and accessible services.</w:t>
      </w:r>
    </w:p>
    <w:p w14:paraId="53198FD4" w14:textId="49FDEE93" w:rsidR="0022039C" w:rsidRPr="00700CA9" w:rsidRDefault="0022039C" w:rsidP="0098373A">
      <w:pPr>
        <w:pStyle w:val="Bulletlist"/>
      </w:pPr>
      <w:r w:rsidRPr="00700CA9">
        <w:t xml:space="preserve">Documented </w:t>
      </w:r>
      <w:r w:rsidR="002D089D" w:rsidRPr="00700CA9">
        <w:t>g</w:t>
      </w:r>
      <w:r w:rsidRPr="00700CA9">
        <w:t xml:space="preserve">overnance </w:t>
      </w:r>
      <w:r w:rsidR="002D089D" w:rsidRPr="00700CA9">
        <w:t>b</w:t>
      </w:r>
      <w:r w:rsidRPr="00700CA9">
        <w:t xml:space="preserve">ody </w:t>
      </w:r>
      <w:r w:rsidRPr="003E2610">
        <w:t xml:space="preserve">nomination, appointment processes, roles and responsibilities, induction, </w:t>
      </w:r>
      <w:proofErr w:type="gramStart"/>
      <w:r w:rsidRPr="003E2610">
        <w:t>obligations</w:t>
      </w:r>
      <w:proofErr w:type="gramEnd"/>
      <w:r w:rsidRPr="003E2610">
        <w:t xml:space="preserve"> and delegations</w:t>
      </w:r>
      <w:r w:rsidR="00CB2582" w:rsidRPr="003E2610">
        <w:t xml:space="preserve"> </w:t>
      </w:r>
      <w:r w:rsidR="00CB2582">
        <w:rPr>
          <w:highlight w:val="yellow"/>
        </w:rPr>
        <w:t>(r</w:t>
      </w:r>
      <w:r w:rsidR="00C6152B" w:rsidRPr="00CB2582">
        <w:rPr>
          <w:highlight w:val="yellow"/>
        </w:rPr>
        <w:t>e</w:t>
      </w:r>
      <w:r w:rsidRPr="00CB2582">
        <w:rPr>
          <w:highlight w:val="yellow"/>
        </w:rPr>
        <w:t xml:space="preserve">move or add </w:t>
      </w:r>
      <w:r w:rsidR="00A52201" w:rsidRPr="00CB2582">
        <w:rPr>
          <w:highlight w:val="yellow"/>
        </w:rPr>
        <w:t xml:space="preserve">items as </w:t>
      </w:r>
      <w:r w:rsidRPr="00CB2582">
        <w:rPr>
          <w:highlight w:val="yellow"/>
        </w:rPr>
        <w:t>relevant</w:t>
      </w:r>
      <w:r w:rsidR="00CB2582">
        <w:rPr>
          <w:highlight w:val="yellow"/>
        </w:rPr>
        <w:t>)</w:t>
      </w:r>
      <w:r w:rsidR="00A52201" w:rsidRPr="00CB2582">
        <w:rPr>
          <w:highlight w:val="yellow"/>
        </w:rPr>
        <w:t>.</w:t>
      </w:r>
    </w:p>
    <w:p w14:paraId="462B3D78" w14:textId="52D7B22D" w:rsidR="00245E9E" w:rsidRDefault="00245E9E" w:rsidP="0098373A">
      <w:pPr>
        <w:pStyle w:val="Bulletlist"/>
      </w:pPr>
      <w:r>
        <w:t xml:space="preserve">A </w:t>
      </w:r>
      <w:proofErr w:type="gramStart"/>
      <w:r>
        <w:t>delegations</w:t>
      </w:r>
      <w:proofErr w:type="gramEnd"/>
      <w:r>
        <w:t xml:space="preserve"> schedule/policy and associated procedures </w:t>
      </w:r>
      <w:r w:rsidRPr="00245E9E">
        <w:rPr>
          <w:highlight w:val="yellow"/>
        </w:rPr>
        <w:t>(remove irrelevant term)</w:t>
      </w:r>
      <w:r>
        <w:t xml:space="preserve"> that clarifies and guides the oversight of decision making within the organisation.</w:t>
      </w:r>
    </w:p>
    <w:p w14:paraId="16AF8798" w14:textId="67EE9085" w:rsidR="0022039C" w:rsidRPr="00700CA9" w:rsidRDefault="0022039C" w:rsidP="0098373A">
      <w:pPr>
        <w:pStyle w:val="Bulletlist"/>
      </w:pPr>
      <w:r w:rsidRPr="00700CA9">
        <w:t xml:space="preserve">Reporting and recording processes that support the </w:t>
      </w:r>
      <w:r w:rsidR="00C6152B" w:rsidRPr="00700CA9">
        <w:t>g</w:t>
      </w:r>
      <w:r w:rsidRPr="00700CA9">
        <w:t xml:space="preserve">overning </w:t>
      </w:r>
      <w:r w:rsidR="00C6152B" w:rsidRPr="00700CA9">
        <w:t>b</w:t>
      </w:r>
      <w:r w:rsidRPr="00700CA9">
        <w:t xml:space="preserve">ody to fulfil its functions and minimise the organisation's exposure to risk, including financial, compliance, service delivery, </w:t>
      </w:r>
      <w:r w:rsidR="00062C80" w:rsidRPr="00700CA9">
        <w:t xml:space="preserve">work health and safety, and </w:t>
      </w:r>
      <w:r w:rsidRPr="00700CA9">
        <w:t xml:space="preserve">human resource </w:t>
      </w:r>
      <w:r w:rsidR="00062C80" w:rsidRPr="00700CA9">
        <w:t>risks</w:t>
      </w:r>
      <w:r w:rsidRPr="00700CA9">
        <w:t xml:space="preserve">. </w:t>
      </w:r>
    </w:p>
    <w:p w14:paraId="66F181F2" w14:textId="645D53C0" w:rsidR="0022039C" w:rsidRPr="00700CA9" w:rsidRDefault="0022039C" w:rsidP="003D030A">
      <w:pPr>
        <w:pStyle w:val="Heading3"/>
      </w:pPr>
      <w:bookmarkStart w:id="6" w:name="_heading=h.497sicdks6o3"/>
      <w:bookmarkEnd w:id="6"/>
      <w:r w:rsidRPr="00700CA9">
        <w:lastRenderedPageBreak/>
        <w:t>Regulatory accountability</w:t>
      </w:r>
    </w:p>
    <w:p w14:paraId="5A1315CD" w14:textId="7A956617" w:rsidR="0022039C" w:rsidRPr="00700CA9" w:rsidRDefault="0022039C" w:rsidP="003D030A">
      <w:r w:rsidRPr="00700CA9">
        <w:rPr>
          <w:highlight w:val="yellow"/>
        </w:rPr>
        <w:t>Organisation</w:t>
      </w:r>
      <w:r w:rsidR="0043419B" w:rsidRPr="0043419B">
        <w:t>’s</w:t>
      </w:r>
      <w:r w:rsidRPr="00700CA9">
        <w:t xml:space="preserve"> processes and systems are compliant with: </w:t>
      </w:r>
    </w:p>
    <w:p w14:paraId="2938411A" w14:textId="6E3EE461" w:rsidR="0022039C" w:rsidRPr="00CB2582" w:rsidRDefault="00A42A19" w:rsidP="0098373A">
      <w:pPr>
        <w:pStyle w:val="Bulletlist"/>
      </w:pPr>
      <w:r w:rsidRPr="00CB2582">
        <w:rPr>
          <w:highlight w:val="green"/>
        </w:rPr>
        <w:t xml:space="preserve">Outline </w:t>
      </w:r>
      <w:r w:rsidR="00700CA9" w:rsidRPr="00CB2582">
        <w:rPr>
          <w:highlight w:val="green"/>
        </w:rPr>
        <w:t>relevant legislation</w:t>
      </w:r>
      <w:r w:rsidR="00CB2582" w:rsidRPr="00CB2582">
        <w:rPr>
          <w:highlight w:val="green"/>
        </w:rPr>
        <w:t xml:space="preserve"> (</w:t>
      </w:r>
      <w:r w:rsidR="00700CA9" w:rsidRPr="00CB2582">
        <w:rPr>
          <w:highlight w:val="green"/>
        </w:rPr>
        <w:t xml:space="preserve">e.g., </w:t>
      </w:r>
      <w:r w:rsidR="0022039C" w:rsidRPr="00CB2582">
        <w:rPr>
          <w:highlight w:val="green"/>
        </w:rPr>
        <w:t>Child Protection Act 1999, Child Protect Regulation 2011, Domestic and Family Violence Act 2012,</w:t>
      </w:r>
      <w:r w:rsidR="0022039C" w:rsidRPr="00CB2582">
        <w:rPr>
          <w:iCs/>
          <w:highlight w:val="green"/>
        </w:rPr>
        <w:t xml:space="preserve"> </w:t>
      </w:r>
      <w:r w:rsidR="00C5706E" w:rsidRPr="00CB2582">
        <w:rPr>
          <w:iCs/>
          <w:highlight w:val="green"/>
        </w:rPr>
        <w:t>etc.</w:t>
      </w:r>
      <w:r w:rsidR="00CB2582" w:rsidRPr="00CB2582">
        <w:rPr>
          <w:highlight w:val="green"/>
        </w:rPr>
        <w:t>).</w:t>
      </w:r>
    </w:p>
    <w:p w14:paraId="6E263DF0" w14:textId="197977B6" w:rsidR="0022039C" w:rsidRPr="00CB2582" w:rsidRDefault="00A42A19" w:rsidP="0098373A">
      <w:pPr>
        <w:pStyle w:val="Bulletlist"/>
      </w:pPr>
      <w:r w:rsidRPr="00CB2582">
        <w:rPr>
          <w:highlight w:val="green"/>
        </w:rPr>
        <w:t>Outline</w:t>
      </w:r>
      <w:r w:rsidR="0022039C" w:rsidRPr="00CB2582">
        <w:rPr>
          <w:highlight w:val="green"/>
        </w:rPr>
        <w:t xml:space="preserve"> </w:t>
      </w:r>
      <w:r w:rsidR="00C5706E" w:rsidRPr="00CB2582">
        <w:rPr>
          <w:highlight w:val="green"/>
        </w:rPr>
        <w:t xml:space="preserve">relevant </w:t>
      </w:r>
      <w:r w:rsidR="0022039C" w:rsidRPr="00CB2582">
        <w:rPr>
          <w:highlight w:val="green"/>
        </w:rPr>
        <w:t>regulatory frameworks</w:t>
      </w:r>
      <w:r w:rsidR="00CB2582" w:rsidRPr="00CB2582">
        <w:rPr>
          <w:highlight w:val="green"/>
        </w:rPr>
        <w:t xml:space="preserve"> (</w:t>
      </w:r>
      <w:r w:rsidR="00C5706E" w:rsidRPr="00CB2582">
        <w:rPr>
          <w:highlight w:val="green"/>
        </w:rPr>
        <w:t>e.g., Domestic and Family Violence Services: Practice Principles, standards and guidance</w:t>
      </w:r>
      <w:r w:rsidR="00E10148" w:rsidRPr="00CB2582">
        <w:rPr>
          <w:highlight w:val="green"/>
        </w:rPr>
        <w:t>,</w:t>
      </w:r>
      <w:r w:rsidR="0022039C" w:rsidRPr="00CB2582">
        <w:rPr>
          <w:highlight w:val="green"/>
        </w:rPr>
        <w:t xml:space="preserve"> </w:t>
      </w:r>
      <w:r w:rsidR="00E10148" w:rsidRPr="00CB2582">
        <w:rPr>
          <w:highlight w:val="green"/>
        </w:rPr>
        <w:t>A Recovery Approach to Mental Health and Illness</w:t>
      </w:r>
      <w:r w:rsidR="00E10148" w:rsidRPr="00CB2582">
        <w:rPr>
          <w:iCs/>
          <w:highlight w:val="green"/>
        </w:rPr>
        <w:t xml:space="preserve">, </w:t>
      </w:r>
      <w:r w:rsidR="0022039C" w:rsidRPr="00CB2582">
        <w:rPr>
          <w:iCs/>
          <w:highlight w:val="green"/>
        </w:rPr>
        <w:t xml:space="preserve">or </w:t>
      </w:r>
      <w:r w:rsidR="0022039C" w:rsidRPr="00CB2582">
        <w:rPr>
          <w:highlight w:val="green"/>
        </w:rPr>
        <w:t>National Quality Framework for Drug and Alcohol Treatment Services</w:t>
      </w:r>
      <w:r w:rsidR="00CB2582" w:rsidRPr="00CB2582">
        <w:rPr>
          <w:highlight w:val="green"/>
        </w:rPr>
        <w:t>).</w:t>
      </w:r>
    </w:p>
    <w:p w14:paraId="4C230291" w14:textId="290DDC49" w:rsidR="0022039C" w:rsidRPr="00CB2582" w:rsidRDefault="00A42A19" w:rsidP="0098373A">
      <w:pPr>
        <w:pStyle w:val="Bulletlist"/>
      </w:pPr>
      <w:r w:rsidRPr="00CB2582">
        <w:rPr>
          <w:highlight w:val="green"/>
        </w:rPr>
        <w:t xml:space="preserve">Outline </w:t>
      </w:r>
      <w:r w:rsidR="00E10148" w:rsidRPr="00CB2582">
        <w:rPr>
          <w:highlight w:val="green"/>
        </w:rPr>
        <w:t xml:space="preserve">other </w:t>
      </w:r>
      <w:r w:rsidR="0022039C" w:rsidRPr="00CB2582">
        <w:rPr>
          <w:highlight w:val="green"/>
        </w:rPr>
        <w:t>contractual or licencing requirements</w:t>
      </w:r>
      <w:r w:rsidR="00E10148" w:rsidRPr="00CB2582">
        <w:rPr>
          <w:highlight w:val="green"/>
        </w:rPr>
        <w:t>.</w:t>
      </w:r>
    </w:p>
    <w:p w14:paraId="7626618B" w14:textId="0E0A5EE7" w:rsidR="0022039C" w:rsidRPr="00700CA9" w:rsidRDefault="00A42A19" w:rsidP="003D030A">
      <w:pPr>
        <w:pStyle w:val="Heading2"/>
        <w:rPr>
          <w:color w:val="FAA61A"/>
        </w:rPr>
      </w:pPr>
      <w:r>
        <w:t>Governance Body R</w:t>
      </w:r>
      <w:r w:rsidR="0022039C" w:rsidRPr="00700CA9">
        <w:t xml:space="preserve">ecruitment, </w:t>
      </w:r>
      <w:r>
        <w:t>I</w:t>
      </w:r>
      <w:r w:rsidR="0022039C" w:rsidRPr="00700CA9">
        <w:t xml:space="preserve">nduction and </w:t>
      </w:r>
      <w:r>
        <w:t>T</w:t>
      </w:r>
      <w:r w:rsidR="0022039C" w:rsidRPr="00700CA9">
        <w:t>raining</w:t>
      </w:r>
    </w:p>
    <w:p w14:paraId="0FB334D4" w14:textId="26DB8A90" w:rsidR="0022039C" w:rsidRDefault="0022039C" w:rsidP="003D030A">
      <w:r w:rsidRPr="00700CA9">
        <w:rPr>
          <w:highlight w:val="yellow"/>
        </w:rPr>
        <w:t>Organisation</w:t>
      </w:r>
      <w:r w:rsidR="00A42A19">
        <w:t xml:space="preserve"> </w:t>
      </w:r>
      <w:r w:rsidR="0043419B">
        <w:t xml:space="preserve">provides induction and trying to </w:t>
      </w:r>
      <w:r w:rsidRPr="00700CA9">
        <w:t>all new and existing</w:t>
      </w:r>
      <w:r w:rsidR="00A42A19">
        <w:t xml:space="preserve"> governance body members</w:t>
      </w:r>
      <w:r w:rsidR="0043419B">
        <w:t xml:space="preserve">, detailing the </w:t>
      </w:r>
      <w:r w:rsidR="00233905">
        <w:t>organisation</w:t>
      </w:r>
      <w:r w:rsidR="0043419B">
        <w:t xml:space="preserve">’s </w:t>
      </w:r>
      <w:r w:rsidR="008C6972">
        <w:t>purpose and operations</w:t>
      </w:r>
      <w:r w:rsidR="00233905">
        <w:t xml:space="preserve">, </w:t>
      </w:r>
      <w:r w:rsidR="008C6972">
        <w:t xml:space="preserve">our </w:t>
      </w:r>
      <w:r w:rsidR="00233905">
        <w:t xml:space="preserve">responsibilities </w:t>
      </w:r>
      <w:r w:rsidR="008C6972">
        <w:t xml:space="preserve">and reporting, </w:t>
      </w:r>
      <w:r w:rsidR="00233905">
        <w:t>and the governance body’s role and responsibili</w:t>
      </w:r>
      <w:r w:rsidR="00D03557">
        <w:t>ties</w:t>
      </w:r>
      <w:r w:rsidRPr="00700CA9">
        <w:t>.</w:t>
      </w:r>
      <w:r w:rsidR="000D62E6">
        <w:t xml:space="preserve"> </w:t>
      </w:r>
      <w:r w:rsidRPr="000D62E6">
        <w:t xml:space="preserve">Our nomination, recruitment, </w:t>
      </w:r>
      <w:proofErr w:type="gramStart"/>
      <w:r w:rsidRPr="000D62E6">
        <w:t>induction</w:t>
      </w:r>
      <w:proofErr w:type="gramEnd"/>
      <w:r w:rsidRPr="000D62E6">
        <w:t xml:space="preserve"> and training processes provide</w:t>
      </w:r>
      <w:r w:rsidR="00657BC8" w:rsidRPr="000D62E6">
        <w:t xml:space="preserve"> c</w:t>
      </w:r>
      <w:r w:rsidRPr="005D6EC8">
        <w:t>larity of purpose and leadership functions</w:t>
      </w:r>
      <w:r w:rsidR="00657BC8">
        <w:t xml:space="preserve">; </w:t>
      </w:r>
      <w:r w:rsidR="000D62E6">
        <w:t xml:space="preserve">information relevant to the evaluating the </w:t>
      </w:r>
      <w:r w:rsidRPr="005D6EC8">
        <w:t>sustainability, integrity and efficiency of the organisation</w:t>
      </w:r>
      <w:r w:rsidR="000D62E6">
        <w:t>; and a</w:t>
      </w:r>
      <w:r w:rsidRPr="005D6EC8">
        <w:t>ccountability and transparency in the governance and management systems.</w:t>
      </w:r>
      <w:r w:rsidR="006E7FEA">
        <w:t xml:space="preserve"> </w:t>
      </w:r>
      <w:r w:rsidRPr="006E7FEA">
        <w:rPr>
          <w:highlight w:val="yellow"/>
        </w:rPr>
        <w:t>Organisation</w:t>
      </w:r>
      <w:r w:rsidRPr="006E7FEA">
        <w:t xml:space="preserve">'s nomination and recruitment process for new </w:t>
      </w:r>
      <w:r w:rsidR="000D62E6" w:rsidRPr="006E7FEA">
        <w:t xml:space="preserve">governance body </w:t>
      </w:r>
      <w:r w:rsidRPr="006E7FEA">
        <w:t>members confirm</w:t>
      </w:r>
      <w:r w:rsidR="00BF43F8" w:rsidRPr="006E7FEA">
        <w:t xml:space="preserve"> that</w:t>
      </w:r>
      <w:r w:rsidRPr="006E7FEA">
        <w:t xml:space="preserve"> candidates have</w:t>
      </w:r>
      <w:r w:rsidR="006E7FEA">
        <w:t xml:space="preserve"> </w:t>
      </w:r>
      <w:r w:rsidR="006459E6">
        <w:t>a</w:t>
      </w:r>
      <w:r w:rsidR="000D62E6">
        <w:t xml:space="preserve">ppropriate </w:t>
      </w:r>
      <w:r w:rsidRPr="005D6EC8">
        <w:t xml:space="preserve">knowledge, </w:t>
      </w:r>
      <w:proofErr w:type="gramStart"/>
      <w:r w:rsidRPr="005D6EC8">
        <w:t>skills</w:t>
      </w:r>
      <w:proofErr w:type="gramEnd"/>
      <w:r w:rsidRPr="005D6EC8">
        <w:t xml:space="preserve"> and experience to fulfil their roles</w:t>
      </w:r>
      <w:r w:rsidR="000D62E6">
        <w:t xml:space="preserve"> and duties</w:t>
      </w:r>
      <w:r w:rsidR="006E7FEA">
        <w:t xml:space="preserve">, and </w:t>
      </w:r>
      <w:r w:rsidR="006459E6">
        <w:t>a</w:t>
      </w:r>
      <w:r w:rsidRPr="005D6EC8">
        <w:t xml:space="preserve">n </w:t>
      </w:r>
      <w:r w:rsidR="00757FD7">
        <w:t xml:space="preserve">adequate </w:t>
      </w:r>
      <w:r w:rsidRPr="005D6EC8">
        <w:t xml:space="preserve">understanding of the legislative and regulatory environment </w:t>
      </w:r>
      <w:r w:rsidR="006459E6" w:rsidRPr="006459E6">
        <w:rPr>
          <w:highlight w:val="yellow"/>
        </w:rPr>
        <w:t>organisation</w:t>
      </w:r>
      <w:r w:rsidR="006459E6">
        <w:t xml:space="preserve"> </w:t>
      </w:r>
      <w:r w:rsidRPr="005D6EC8">
        <w:t>operate</w:t>
      </w:r>
      <w:r w:rsidR="006459E6">
        <w:t>s</w:t>
      </w:r>
      <w:r w:rsidRPr="005D6EC8">
        <w:t xml:space="preserve"> </w:t>
      </w:r>
      <w:r w:rsidR="006459E6">
        <w:t>with</w:t>
      </w:r>
      <w:r w:rsidRPr="005D6EC8">
        <w:t>in</w:t>
      </w:r>
      <w:r w:rsidR="00BF43F8">
        <w:t>.</w:t>
      </w:r>
    </w:p>
    <w:p w14:paraId="6D9DA33C" w14:textId="765E5336" w:rsidR="00757FD7" w:rsidRDefault="00757FD7" w:rsidP="003D030A">
      <w:pPr>
        <w:pStyle w:val="Heading3"/>
      </w:pPr>
      <w:r>
        <w:t>Recruitment</w:t>
      </w:r>
      <w:r w:rsidR="00997FDA">
        <w:t>, Nomination and Appointment</w:t>
      </w:r>
    </w:p>
    <w:p w14:paraId="091B33CF" w14:textId="18AED113" w:rsidR="00976A5F" w:rsidRPr="00976A5F" w:rsidRDefault="0000248B" w:rsidP="00976A5F">
      <w:r>
        <w:t xml:space="preserve">The governance body’s strength and membership </w:t>
      </w:r>
      <w:proofErr w:type="gramStart"/>
      <w:r>
        <w:t>is</w:t>
      </w:r>
      <w:proofErr w:type="gramEnd"/>
      <w:r>
        <w:t xml:space="preserve"> supported by effective recruitment, nomination and appointment processes.</w:t>
      </w:r>
    </w:p>
    <w:p w14:paraId="05A892CC" w14:textId="77777777" w:rsidR="00E43DF8" w:rsidRPr="00E43DF8" w:rsidRDefault="006E7FEA" w:rsidP="0098373A">
      <w:pPr>
        <w:pStyle w:val="Bulletlist"/>
      </w:pPr>
      <w:r w:rsidRPr="00CB2582">
        <w:rPr>
          <w:highlight w:val="green"/>
        </w:rPr>
        <w:t>Describe your organisation’s process for notifying potential members of/advertising governance body vacancies</w:t>
      </w:r>
      <w:r w:rsidR="00E43DF8" w:rsidRPr="00CB2582">
        <w:rPr>
          <w:highlight w:val="green"/>
        </w:rPr>
        <w:t>.</w:t>
      </w:r>
    </w:p>
    <w:p w14:paraId="47A48622" w14:textId="4F561A01" w:rsidR="00531416" w:rsidRDefault="00E43DF8" w:rsidP="0098373A">
      <w:pPr>
        <w:pStyle w:val="Bulletlist"/>
      </w:pPr>
      <w:r w:rsidRPr="008D1A1B">
        <w:t xml:space="preserve">Nominations/expressions of interest are </w:t>
      </w:r>
      <w:r w:rsidR="008D1A1B" w:rsidRPr="008D1A1B">
        <w:t>gathered by</w:t>
      </w:r>
      <w:r w:rsidR="006E7FEA" w:rsidRPr="008D1A1B">
        <w:t xml:space="preserve"> </w:t>
      </w:r>
      <w:r w:rsidR="008D1A1B" w:rsidRPr="00CB2582">
        <w:rPr>
          <w:highlight w:val="green"/>
        </w:rPr>
        <w:t xml:space="preserve">outline your </w:t>
      </w:r>
      <w:r w:rsidR="006E7FEA" w:rsidRPr="00CB2582">
        <w:rPr>
          <w:highlight w:val="green"/>
        </w:rPr>
        <w:t>method</w:t>
      </w:r>
      <w:r w:rsidR="008D1A1B" w:rsidRPr="00CB2582">
        <w:rPr>
          <w:highlight w:val="green"/>
        </w:rPr>
        <w:t>(</w:t>
      </w:r>
      <w:r w:rsidR="006E7FEA" w:rsidRPr="00CB2582">
        <w:rPr>
          <w:highlight w:val="green"/>
        </w:rPr>
        <w:t>s</w:t>
      </w:r>
      <w:r w:rsidR="008D1A1B" w:rsidRPr="00CB2582">
        <w:rPr>
          <w:highlight w:val="green"/>
        </w:rPr>
        <w:t>)</w:t>
      </w:r>
      <w:r w:rsidR="006E7FEA" w:rsidRPr="00CB2582">
        <w:rPr>
          <w:highlight w:val="green"/>
        </w:rPr>
        <w:t xml:space="preserve"> for collecting </w:t>
      </w:r>
      <w:r w:rsidR="00423C5D" w:rsidRPr="00CB2582">
        <w:rPr>
          <w:highlight w:val="green"/>
        </w:rPr>
        <w:t>nominations/</w:t>
      </w:r>
      <w:r w:rsidR="006E7FEA" w:rsidRPr="00CB2582">
        <w:rPr>
          <w:highlight w:val="green"/>
        </w:rPr>
        <w:t>expressions of interest.</w:t>
      </w:r>
    </w:p>
    <w:p w14:paraId="217B2A60" w14:textId="1E36F4BF" w:rsidR="00757FD7" w:rsidRDefault="00423C5D" w:rsidP="0098373A">
      <w:pPr>
        <w:pStyle w:val="Bulletlist"/>
      </w:pPr>
      <w:r>
        <w:t xml:space="preserve">Nominations/expressions of interests are evaluated for nominees’ </w:t>
      </w:r>
      <w:r w:rsidRPr="00153776">
        <w:rPr>
          <w:highlight w:val="green"/>
        </w:rPr>
        <w:t>(add/remove items as appropriate)</w:t>
      </w:r>
      <w:r>
        <w:t>:</w:t>
      </w:r>
    </w:p>
    <w:p w14:paraId="488D0913" w14:textId="3EA31C17" w:rsidR="00292AC5" w:rsidRDefault="005978A6" w:rsidP="00C75B78">
      <w:pPr>
        <w:pStyle w:val="Bulletlist"/>
        <w:numPr>
          <w:ilvl w:val="1"/>
          <w:numId w:val="9"/>
        </w:numPr>
        <w:ind w:left="993"/>
      </w:pPr>
      <w:r>
        <w:t>c</w:t>
      </w:r>
      <w:r w:rsidR="00292AC5">
        <w:t>ommunity sector</w:t>
      </w:r>
      <w:r>
        <w:t xml:space="preserve">, management or human resources </w:t>
      </w:r>
      <w:proofErr w:type="gramStart"/>
      <w:r>
        <w:t>experience;</w:t>
      </w:r>
      <w:proofErr w:type="gramEnd"/>
    </w:p>
    <w:p w14:paraId="11F1B06C" w14:textId="2A5D8FE5" w:rsidR="00292AC5" w:rsidRDefault="005978A6" w:rsidP="00C75B78">
      <w:pPr>
        <w:pStyle w:val="Bulletlist"/>
        <w:numPr>
          <w:ilvl w:val="1"/>
          <w:numId w:val="9"/>
        </w:numPr>
        <w:ind w:left="993"/>
      </w:pPr>
      <w:r>
        <w:t>f</w:t>
      </w:r>
      <w:r w:rsidR="00560506" w:rsidRPr="005D6EC8">
        <w:t>inancial</w:t>
      </w:r>
      <w:r w:rsidR="00560506">
        <w:t xml:space="preserve"> </w:t>
      </w:r>
      <w:r w:rsidR="00292AC5">
        <w:t xml:space="preserve">skills and </w:t>
      </w:r>
      <w:proofErr w:type="gramStart"/>
      <w:r w:rsidR="00560506">
        <w:t>knowledge</w:t>
      </w:r>
      <w:r>
        <w:t>;</w:t>
      </w:r>
      <w:proofErr w:type="gramEnd"/>
    </w:p>
    <w:p w14:paraId="06D588E1" w14:textId="6E60AF3D" w:rsidR="00560506" w:rsidRDefault="005978A6" w:rsidP="00C75B78">
      <w:pPr>
        <w:pStyle w:val="Bulletlist"/>
        <w:numPr>
          <w:ilvl w:val="1"/>
          <w:numId w:val="9"/>
        </w:numPr>
        <w:ind w:left="993"/>
      </w:pPr>
      <w:r>
        <w:t>r</w:t>
      </w:r>
      <w:r w:rsidR="00560506" w:rsidRPr="005D6EC8">
        <w:t>isk and safety management</w:t>
      </w:r>
      <w:r>
        <w:t xml:space="preserve"> </w:t>
      </w:r>
      <w:proofErr w:type="gramStart"/>
      <w:r>
        <w:t>experience;</w:t>
      </w:r>
      <w:proofErr w:type="gramEnd"/>
    </w:p>
    <w:p w14:paraId="1F0620D1" w14:textId="77777777" w:rsidR="005978A6" w:rsidRDefault="005978A6" w:rsidP="00C75B78">
      <w:pPr>
        <w:pStyle w:val="Bulletlist"/>
        <w:numPr>
          <w:ilvl w:val="1"/>
          <w:numId w:val="9"/>
        </w:numPr>
        <w:ind w:left="993"/>
      </w:pPr>
      <w:r>
        <w:t xml:space="preserve">communication </w:t>
      </w:r>
      <w:proofErr w:type="gramStart"/>
      <w:r>
        <w:t>skills;</w:t>
      </w:r>
      <w:proofErr w:type="gramEnd"/>
    </w:p>
    <w:p w14:paraId="157116BA" w14:textId="2DB6E0D7" w:rsidR="00560506" w:rsidRDefault="005978A6" w:rsidP="00C75B78">
      <w:pPr>
        <w:pStyle w:val="Bulletlist"/>
        <w:numPr>
          <w:ilvl w:val="1"/>
          <w:numId w:val="9"/>
        </w:numPr>
        <w:ind w:left="993"/>
      </w:pPr>
      <w:r>
        <w:t>c</w:t>
      </w:r>
      <w:r w:rsidR="00560506">
        <w:t>ultural responsiveness</w:t>
      </w:r>
      <w:r>
        <w:t>; and/or</w:t>
      </w:r>
    </w:p>
    <w:p w14:paraId="637628A4" w14:textId="32D3FE1B" w:rsidR="00560506" w:rsidRDefault="005978A6" w:rsidP="00C75B78">
      <w:pPr>
        <w:pStyle w:val="Bulletlist"/>
        <w:numPr>
          <w:ilvl w:val="1"/>
          <w:numId w:val="9"/>
        </w:numPr>
        <w:ind w:left="993"/>
      </w:pPr>
      <w:r>
        <w:t>l</w:t>
      </w:r>
      <w:r w:rsidR="00560506">
        <w:t xml:space="preserve">ived experience </w:t>
      </w:r>
      <w:r w:rsidR="00560506" w:rsidRPr="008D1A1B">
        <w:t xml:space="preserve">of </w:t>
      </w:r>
      <w:r w:rsidR="00292AC5" w:rsidRPr="00153776">
        <w:rPr>
          <w:highlight w:val="green"/>
        </w:rPr>
        <w:t>detail as appropriate</w:t>
      </w:r>
      <w:r w:rsidR="00292AC5">
        <w:t>.</w:t>
      </w:r>
    </w:p>
    <w:p w14:paraId="54B70774" w14:textId="15A21D11" w:rsidR="00091FB1" w:rsidRDefault="00091FB1" w:rsidP="0098373A">
      <w:pPr>
        <w:pStyle w:val="Bulletlist"/>
      </w:pPr>
      <w:r>
        <w:t xml:space="preserve">Nominees are appointed by </w:t>
      </w:r>
      <w:r w:rsidRPr="00153776">
        <w:rPr>
          <w:highlight w:val="green"/>
        </w:rPr>
        <w:t>outline appointment process here (e.g., by vote</w:t>
      </w:r>
      <w:r w:rsidR="003C1E42" w:rsidRPr="00153776">
        <w:rPr>
          <w:highlight w:val="green"/>
        </w:rPr>
        <w:t>/confirmation</w:t>
      </w:r>
      <w:r w:rsidRPr="00153776">
        <w:rPr>
          <w:highlight w:val="green"/>
        </w:rPr>
        <w:t xml:space="preserve"> at </w:t>
      </w:r>
      <w:r w:rsidR="003C1E42" w:rsidRPr="00153776">
        <w:rPr>
          <w:highlight w:val="green"/>
        </w:rPr>
        <w:t>an annual general meeting)</w:t>
      </w:r>
      <w:r w:rsidR="003C1E42">
        <w:t>.</w:t>
      </w:r>
    </w:p>
    <w:p w14:paraId="521E40C6" w14:textId="73F16392" w:rsidR="006C3B50" w:rsidRDefault="006C3B50" w:rsidP="00C75B78">
      <w:pPr>
        <w:pStyle w:val="ListParagraph"/>
        <w:numPr>
          <w:ilvl w:val="1"/>
          <w:numId w:val="14"/>
        </w:numPr>
        <w:ind w:left="993"/>
      </w:pPr>
      <w:r>
        <w:t xml:space="preserve">Where a casual vacancy arises, the governance body may appoint a new member </w:t>
      </w:r>
      <w:r w:rsidR="005F19AD">
        <w:t xml:space="preserve">to serve until the next annual general meeting </w:t>
      </w:r>
      <w:r>
        <w:t xml:space="preserve">without </w:t>
      </w:r>
      <w:r w:rsidR="005F19AD">
        <w:t xml:space="preserve">undertaking </w:t>
      </w:r>
      <w:r w:rsidR="009C4A45">
        <w:t xml:space="preserve">all </w:t>
      </w:r>
      <w:r w:rsidR="005F19AD">
        <w:t xml:space="preserve">the recruitment, nomination and appointment procedure </w:t>
      </w:r>
      <w:r w:rsidR="00086FAE">
        <w:t xml:space="preserve">detailed </w:t>
      </w:r>
      <w:r w:rsidR="005F19AD">
        <w:t xml:space="preserve">above, provided the </w:t>
      </w:r>
      <w:r w:rsidR="009C4A45">
        <w:t>appointment is subjected to evaluation and screening</w:t>
      </w:r>
      <w:r w:rsidR="00086FAE">
        <w:t xml:space="preserve"> as outlined</w:t>
      </w:r>
      <w:r w:rsidR="005F19AD">
        <w:t>.</w:t>
      </w:r>
    </w:p>
    <w:p w14:paraId="69C216B7" w14:textId="7E6CD123" w:rsidR="00FB73AA" w:rsidRDefault="00FB73AA" w:rsidP="0098373A">
      <w:pPr>
        <w:pStyle w:val="Bulletlist"/>
      </w:pPr>
      <w:r>
        <w:t xml:space="preserve">Nominees are screened for suitability by </w:t>
      </w:r>
      <w:r w:rsidRPr="00153776">
        <w:rPr>
          <w:highlight w:val="green"/>
        </w:rPr>
        <w:t>outline screening processes (e.g., review of CVs</w:t>
      </w:r>
      <w:r w:rsidR="00997FDA" w:rsidRPr="00153776">
        <w:rPr>
          <w:highlight w:val="green"/>
        </w:rPr>
        <w:t xml:space="preserve">, Blue Card checks, </w:t>
      </w:r>
      <w:r w:rsidR="00A34FD2" w:rsidRPr="00153776">
        <w:rPr>
          <w:highlight w:val="green"/>
        </w:rPr>
        <w:t xml:space="preserve">confirmation that the nominee is not bankrupt/convicted of a serious office, </w:t>
      </w:r>
      <w:r w:rsidR="00997FDA" w:rsidRPr="00153776">
        <w:rPr>
          <w:highlight w:val="green"/>
        </w:rPr>
        <w:t>etc.)</w:t>
      </w:r>
      <w:r>
        <w:t>.</w:t>
      </w:r>
    </w:p>
    <w:p w14:paraId="32E1B37C" w14:textId="669E80DA" w:rsidR="00E43DF8" w:rsidRDefault="008D1A1B" w:rsidP="0098373A">
      <w:pPr>
        <w:pStyle w:val="Bulletlist"/>
      </w:pPr>
      <w:r>
        <w:t>Where more nominations/expressions of interest are received than positions vacant</w:t>
      </w:r>
      <w:r w:rsidR="00091FB1">
        <w:t xml:space="preserve">, positions on the governance body are determined by </w:t>
      </w:r>
      <w:r w:rsidR="00091FB1" w:rsidRPr="003E2610">
        <w:rPr>
          <w:highlight w:val="green"/>
        </w:rPr>
        <w:t>outline selection processe</w:t>
      </w:r>
      <w:r w:rsidR="003C1E42" w:rsidRPr="003E2610">
        <w:rPr>
          <w:highlight w:val="green"/>
        </w:rPr>
        <w:t xml:space="preserve">s (e.g., relevant areas of expertise/skill, maximising diversity </w:t>
      </w:r>
      <w:r w:rsidR="00FB73AA" w:rsidRPr="003E2610">
        <w:rPr>
          <w:highlight w:val="green"/>
        </w:rPr>
        <w:t>in the governance body, etc.)</w:t>
      </w:r>
      <w:r w:rsidR="00091FB1">
        <w:t>.</w:t>
      </w:r>
    </w:p>
    <w:p w14:paraId="3BDFBB40" w14:textId="10508DC3" w:rsidR="004604F3" w:rsidRDefault="004604F3" w:rsidP="0098373A">
      <w:pPr>
        <w:pStyle w:val="Bulletlist"/>
      </w:pPr>
      <w:r>
        <w:t xml:space="preserve">Appointment is followed by </w:t>
      </w:r>
      <w:r w:rsidR="00727ED6" w:rsidRPr="00727ED6">
        <w:rPr>
          <w:highlight w:val="green"/>
        </w:rPr>
        <w:t xml:space="preserve">detail requirements for </w:t>
      </w:r>
      <w:r w:rsidR="00060141" w:rsidRPr="00727ED6">
        <w:rPr>
          <w:highlight w:val="green"/>
        </w:rPr>
        <w:t>verification</w:t>
      </w:r>
      <w:r w:rsidR="00727ED6" w:rsidRPr="00727ED6">
        <w:rPr>
          <w:highlight w:val="green"/>
        </w:rPr>
        <w:t xml:space="preserve">/registration, e.g., </w:t>
      </w:r>
      <w:r w:rsidR="00060141" w:rsidRPr="00727ED6">
        <w:rPr>
          <w:highlight w:val="green"/>
        </w:rPr>
        <w:t>application for a Director Identification Number</w:t>
      </w:r>
      <w:r w:rsidR="00815280" w:rsidRPr="00727ED6">
        <w:rPr>
          <w:highlight w:val="green"/>
        </w:rPr>
        <w:t xml:space="preserve"> if organisation is not a company limited by guarantee</w:t>
      </w:r>
      <w:r w:rsidR="00815280">
        <w:t>.</w:t>
      </w:r>
    </w:p>
    <w:p w14:paraId="603A3BCB" w14:textId="77777777" w:rsidR="0022039C" w:rsidRPr="00700CA9" w:rsidRDefault="0022039C" w:rsidP="003D030A">
      <w:pPr>
        <w:pStyle w:val="Heading3"/>
        <w:rPr>
          <w:color w:val="auto"/>
          <w:highlight w:val="yellow"/>
        </w:rPr>
      </w:pPr>
      <w:r w:rsidRPr="00700CA9">
        <w:lastRenderedPageBreak/>
        <w:t>Induction</w:t>
      </w:r>
    </w:p>
    <w:p w14:paraId="3514BC9A" w14:textId="7090F142" w:rsidR="0022039C" w:rsidRPr="00700CA9" w:rsidRDefault="0022039C" w:rsidP="003D030A">
      <w:r w:rsidRPr="00700CA9">
        <w:rPr>
          <w:highlight w:val="yellow"/>
        </w:rPr>
        <w:t>Organisation</w:t>
      </w:r>
      <w:r w:rsidR="00D623D2">
        <w:t>’s</w:t>
      </w:r>
      <w:r w:rsidRPr="00D623D2">
        <w:t xml:space="preserve"> </w:t>
      </w:r>
      <w:r w:rsidR="00D623D2">
        <w:t xml:space="preserve">governance body </w:t>
      </w:r>
      <w:r w:rsidRPr="00700CA9">
        <w:t xml:space="preserve">members are inducted into the organisation </w:t>
      </w:r>
      <w:r w:rsidR="00A56EFB">
        <w:t>upon joining the governance body. All new members are provided with:</w:t>
      </w:r>
    </w:p>
    <w:p w14:paraId="7A16ED1D" w14:textId="2C73C673" w:rsidR="00A56EFB" w:rsidRPr="00A56EFB" w:rsidRDefault="00A459EE" w:rsidP="00C75B78">
      <w:pPr>
        <w:pStyle w:val="Bulletlist"/>
        <w:rPr>
          <w:color w:val="000000"/>
        </w:rPr>
      </w:pPr>
      <w:r>
        <w:t>Information about g</w:t>
      </w:r>
      <w:r w:rsidR="00A56EFB">
        <w:t>overnance roles and responsibilities, including general and executive governance body member duties.</w:t>
      </w:r>
    </w:p>
    <w:p w14:paraId="26E7FFCF" w14:textId="153AC38B" w:rsidR="00DD1D5F" w:rsidRDefault="00A459EE" w:rsidP="00C75B78">
      <w:pPr>
        <w:pStyle w:val="Bulletlist"/>
      </w:pPr>
      <w:r>
        <w:t>Details on the organisation</w:t>
      </w:r>
      <w:r w:rsidR="00A56EFB">
        <w:t xml:space="preserve">, its </w:t>
      </w:r>
      <w:r w:rsidR="0022039C" w:rsidRPr="00A56EFB">
        <w:t>systems and processes</w:t>
      </w:r>
      <w:r w:rsidR="00A56EFB">
        <w:t>, its services/activities and its reporting requirements</w:t>
      </w:r>
      <w:r w:rsidR="00DD1D5F">
        <w:t xml:space="preserve">, </w:t>
      </w:r>
      <w:proofErr w:type="gramStart"/>
      <w:r w:rsidR="00DD1D5F">
        <w:t>including</w:t>
      </w:r>
      <w:proofErr w:type="gramEnd"/>
    </w:p>
    <w:p w14:paraId="27211F5B" w14:textId="77777777" w:rsidR="007104B1" w:rsidRPr="007104B1" w:rsidRDefault="007104B1" w:rsidP="00C75B78">
      <w:pPr>
        <w:pStyle w:val="ListParagraph"/>
        <w:numPr>
          <w:ilvl w:val="1"/>
          <w:numId w:val="16"/>
        </w:numPr>
        <w:ind w:left="993"/>
        <w:rPr>
          <w:color w:val="000000"/>
        </w:rPr>
      </w:pPr>
      <w:r>
        <w:t xml:space="preserve">organisational structure and current </w:t>
      </w:r>
      <w:proofErr w:type="gramStart"/>
      <w:r>
        <w:t>staff;</w:t>
      </w:r>
      <w:proofErr w:type="gramEnd"/>
    </w:p>
    <w:p w14:paraId="59160CE6" w14:textId="77777777" w:rsidR="007104B1" w:rsidRPr="007104B1" w:rsidRDefault="007104B1" w:rsidP="00C75B78">
      <w:pPr>
        <w:pStyle w:val="ListParagraph"/>
        <w:numPr>
          <w:ilvl w:val="1"/>
          <w:numId w:val="16"/>
        </w:numPr>
        <w:ind w:left="993"/>
        <w:rPr>
          <w:color w:val="000000"/>
        </w:rPr>
      </w:pPr>
      <w:r>
        <w:t xml:space="preserve">management structures and </w:t>
      </w:r>
      <w:proofErr w:type="gramStart"/>
      <w:r>
        <w:t>personnel;</w:t>
      </w:r>
      <w:proofErr w:type="gramEnd"/>
    </w:p>
    <w:p w14:paraId="3F0A20E0" w14:textId="029BF51D" w:rsidR="007104B1" w:rsidRPr="007104B1" w:rsidRDefault="007104B1" w:rsidP="00C75B78">
      <w:pPr>
        <w:pStyle w:val="ListParagraph"/>
        <w:numPr>
          <w:ilvl w:val="1"/>
          <w:numId w:val="16"/>
        </w:numPr>
        <w:ind w:left="993"/>
        <w:rPr>
          <w:color w:val="000000"/>
        </w:rPr>
      </w:pPr>
      <w:r>
        <w:t>service agreement(s</w:t>
      </w:r>
      <w:proofErr w:type="gramStart"/>
      <w:r>
        <w:t>);</w:t>
      </w:r>
      <w:proofErr w:type="gramEnd"/>
    </w:p>
    <w:p w14:paraId="77944253" w14:textId="0605828A" w:rsidR="0022039C" w:rsidRDefault="00A244AB" w:rsidP="00C75B78">
      <w:pPr>
        <w:pStyle w:val="ListParagraph"/>
        <w:numPr>
          <w:ilvl w:val="1"/>
          <w:numId w:val="16"/>
        </w:numPr>
        <w:ind w:left="993"/>
      </w:pPr>
      <w:r>
        <w:t xml:space="preserve">recent meeting minutes and financial </w:t>
      </w:r>
      <w:proofErr w:type="gramStart"/>
      <w:r>
        <w:t>reports;</w:t>
      </w:r>
      <w:proofErr w:type="gramEnd"/>
    </w:p>
    <w:p w14:paraId="33A43098" w14:textId="3F5BD864" w:rsidR="00A244AB" w:rsidRDefault="005D636C" w:rsidP="00C75B78">
      <w:pPr>
        <w:pStyle w:val="ListParagraph"/>
        <w:numPr>
          <w:ilvl w:val="1"/>
          <w:numId w:val="16"/>
        </w:numPr>
        <w:ind w:left="993"/>
      </w:pPr>
      <w:r>
        <w:t xml:space="preserve">all current </w:t>
      </w:r>
      <w:r w:rsidR="00A244AB">
        <w:t>policies and procedures</w:t>
      </w:r>
      <w:r>
        <w:t>, and relevant supporting documents</w:t>
      </w:r>
      <w:r w:rsidR="00A244AB">
        <w:t>;</w:t>
      </w:r>
      <w:r w:rsidR="00E455A0">
        <w:t xml:space="preserve"> and</w:t>
      </w:r>
    </w:p>
    <w:p w14:paraId="5A03030D" w14:textId="1B5885F6" w:rsidR="00907279" w:rsidRPr="00A56EFB" w:rsidRDefault="00907279" w:rsidP="00C75B78">
      <w:pPr>
        <w:pStyle w:val="ListParagraph"/>
        <w:numPr>
          <w:ilvl w:val="1"/>
          <w:numId w:val="16"/>
        </w:numPr>
        <w:ind w:left="993"/>
      </w:pPr>
      <w:r>
        <w:t xml:space="preserve">organisational </w:t>
      </w:r>
      <w:r w:rsidRPr="00907279">
        <w:rPr>
          <w:highlight w:val="yellow"/>
        </w:rPr>
        <w:t>rules/constitution</w:t>
      </w:r>
      <w:r w:rsidR="002C2172">
        <w:rPr>
          <w:highlight w:val="yellow"/>
        </w:rPr>
        <w:t>/trust deed</w:t>
      </w:r>
      <w:r w:rsidR="00E455A0">
        <w:t>.</w:t>
      </w:r>
    </w:p>
    <w:p w14:paraId="0DC156F4" w14:textId="3EFCCCDC" w:rsidR="0022039C" w:rsidRPr="00A56EFB" w:rsidRDefault="00A459EE" w:rsidP="00C75B78">
      <w:pPr>
        <w:pStyle w:val="Bulletlist"/>
      </w:pPr>
      <w:r>
        <w:t>Information about t</w:t>
      </w:r>
      <w:r w:rsidR="0022039C" w:rsidRPr="00A56EFB">
        <w:t xml:space="preserve">he legislative and regulatory environment we operate in, including </w:t>
      </w:r>
      <w:r w:rsidR="0022039C" w:rsidRPr="00A56EFB">
        <w:rPr>
          <w:highlight w:val="yellow"/>
        </w:rPr>
        <w:t>remove</w:t>
      </w:r>
      <w:r w:rsidR="00A56EFB">
        <w:rPr>
          <w:highlight w:val="yellow"/>
        </w:rPr>
        <w:t>/add to</w:t>
      </w:r>
      <w:r w:rsidR="0022039C" w:rsidRPr="00A56EFB">
        <w:rPr>
          <w:highlight w:val="yellow"/>
        </w:rPr>
        <w:t xml:space="preserve"> as required</w:t>
      </w:r>
      <w:r w:rsidR="0022039C" w:rsidRPr="00A56EFB">
        <w:t>:</w:t>
      </w:r>
    </w:p>
    <w:p w14:paraId="1807AABD" w14:textId="77777777" w:rsidR="00A56EFB" w:rsidRPr="000A6C51" w:rsidRDefault="00A56EFB" w:rsidP="00C75B78">
      <w:pPr>
        <w:pStyle w:val="ListParagraph"/>
        <w:numPr>
          <w:ilvl w:val="1"/>
          <w:numId w:val="16"/>
        </w:numPr>
        <w:ind w:left="851"/>
      </w:pPr>
      <w:r w:rsidRPr="000A6C51">
        <w:t>t</w:t>
      </w:r>
      <w:r w:rsidR="0022039C" w:rsidRPr="000A6C51">
        <w:t>he status of the organisation (incorporation/company</w:t>
      </w:r>
      <w:r w:rsidRPr="000A6C51">
        <w:t xml:space="preserve"> limited by guarantee</w:t>
      </w:r>
      <w:proofErr w:type="gramStart"/>
      <w:r w:rsidR="0022039C" w:rsidRPr="000A6C51">
        <w:t>)</w:t>
      </w:r>
      <w:r w:rsidRPr="000A6C51">
        <w:t>;</w:t>
      </w:r>
      <w:proofErr w:type="gramEnd"/>
    </w:p>
    <w:p w14:paraId="4D31783A" w14:textId="2F662EBA" w:rsidR="0022039C" w:rsidRPr="000A6C51" w:rsidRDefault="003E2610" w:rsidP="00C75B78">
      <w:pPr>
        <w:pStyle w:val="ListParagraph"/>
        <w:numPr>
          <w:ilvl w:val="1"/>
          <w:numId w:val="16"/>
        </w:numPr>
        <w:ind w:left="851"/>
        <w:rPr>
          <w:color w:val="000000"/>
        </w:rPr>
      </w:pPr>
      <w:r w:rsidRPr="003E2610">
        <w:rPr>
          <w:highlight w:val="green"/>
        </w:rPr>
        <w:t xml:space="preserve">list </w:t>
      </w:r>
      <w:r w:rsidR="000A6C51" w:rsidRPr="003E2610">
        <w:rPr>
          <w:highlight w:val="green"/>
        </w:rPr>
        <w:t>relevant r</w:t>
      </w:r>
      <w:r w:rsidR="0022039C" w:rsidRPr="003E2610">
        <w:rPr>
          <w:highlight w:val="green"/>
        </w:rPr>
        <w:t xml:space="preserve">egulatory </w:t>
      </w:r>
      <w:r w:rsidR="00A56EFB" w:rsidRPr="003E2610">
        <w:rPr>
          <w:highlight w:val="green"/>
        </w:rPr>
        <w:t>b</w:t>
      </w:r>
      <w:r w:rsidR="0022039C" w:rsidRPr="003E2610">
        <w:rPr>
          <w:highlight w:val="green"/>
        </w:rPr>
        <w:t>ody</w:t>
      </w:r>
      <w:r w:rsidR="000A6C51" w:rsidRPr="003E2610">
        <w:rPr>
          <w:highlight w:val="green"/>
        </w:rPr>
        <w:t>(</w:t>
      </w:r>
      <w:proofErr w:type="spellStart"/>
      <w:r w:rsidR="000A6C51" w:rsidRPr="003E2610">
        <w:rPr>
          <w:highlight w:val="green"/>
        </w:rPr>
        <w:t>ies</w:t>
      </w:r>
      <w:proofErr w:type="spellEnd"/>
      <w:proofErr w:type="gramStart"/>
      <w:r w:rsidR="000A6C51" w:rsidRPr="003E2610">
        <w:rPr>
          <w:highlight w:val="green"/>
        </w:rPr>
        <w:t>)</w:t>
      </w:r>
      <w:r w:rsidR="000A6C51" w:rsidRPr="000A6C51">
        <w:rPr>
          <w:color w:val="000000"/>
        </w:rPr>
        <w:t>;</w:t>
      </w:r>
      <w:proofErr w:type="gramEnd"/>
    </w:p>
    <w:p w14:paraId="4CD742DC" w14:textId="35F7AC95" w:rsidR="0022039C" w:rsidRPr="000A6C51" w:rsidRDefault="000A6C51" w:rsidP="00C75B78">
      <w:pPr>
        <w:pStyle w:val="ListParagraph"/>
        <w:numPr>
          <w:ilvl w:val="1"/>
          <w:numId w:val="16"/>
        </w:numPr>
        <w:ind w:left="851"/>
      </w:pPr>
      <w:r>
        <w:t>r</w:t>
      </w:r>
      <w:r w:rsidR="0022039C" w:rsidRPr="000A6C51">
        <w:t xml:space="preserve">elevant provisions in the Child Protection Act 1999 and Child Protection Regulation </w:t>
      </w:r>
      <w:proofErr w:type="gramStart"/>
      <w:r w:rsidR="0022039C" w:rsidRPr="000A6C51">
        <w:t>2011</w:t>
      </w:r>
      <w:r>
        <w:t>;</w:t>
      </w:r>
      <w:proofErr w:type="gramEnd"/>
    </w:p>
    <w:p w14:paraId="792CDB7E" w14:textId="36DC2119" w:rsidR="0022039C" w:rsidRPr="000A6C51" w:rsidRDefault="00DD1D5F" w:rsidP="00C75B78">
      <w:pPr>
        <w:pStyle w:val="ListParagraph"/>
        <w:numPr>
          <w:ilvl w:val="1"/>
          <w:numId w:val="16"/>
        </w:numPr>
        <w:ind w:left="851"/>
      </w:pPr>
      <w:r>
        <w:t xml:space="preserve">policies, </w:t>
      </w:r>
      <w:proofErr w:type="gramStart"/>
      <w:r>
        <w:t>regulations</w:t>
      </w:r>
      <w:proofErr w:type="gramEnd"/>
      <w:r>
        <w:t xml:space="preserve"> and guidelines of the </w:t>
      </w:r>
      <w:r w:rsidR="003E2610">
        <w:t xml:space="preserve">identify </w:t>
      </w:r>
      <w:r w:rsidR="003E2610" w:rsidRPr="003E2610">
        <w:rPr>
          <w:highlight w:val="green"/>
        </w:rPr>
        <w:t>relevant funders/departments</w:t>
      </w:r>
      <w:r>
        <w:t>; and</w:t>
      </w:r>
    </w:p>
    <w:p w14:paraId="7D9058FC" w14:textId="077EC0C7" w:rsidR="0022039C" w:rsidRPr="00764117" w:rsidRDefault="00DD1D5F" w:rsidP="00C75B78">
      <w:pPr>
        <w:pStyle w:val="ListParagraph"/>
        <w:numPr>
          <w:ilvl w:val="1"/>
          <w:numId w:val="16"/>
        </w:numPr>
        <w:ind w:left="851"/>
        <w:rPr>
          <w:color w:val="000000"/>
        </w:rPr>
      </w:pPr>
      <w:r w:rsidRPr="003E2610">
        <w:rPr>
          <w:highlight w:val="green"/>
        </w:rPr>
        <w:t>list relevant investment specifications</w:t>
      </w:r>
      <w:r>
        <w:t>.</w:t>
      </w:r>
    </w:p>
    <w:p w14:paraId="36966F7F" w14:textId="62280B85" w:rsidR="00764117" w:rsidRPr="00764117" w:rsidRDefault="00A459EE" w:rsidP="00C75B78">
      <w:pPr>
        <w:pStyle w:val="Bulletlist"/>
      </w:pPr>
      <w:r w:rsidRPr="00A459EE">
        <w:rPr>
          <w:highlight w:val="green"/>
        </w:rPr>
        <w:t>List o</w:t>
      </w:r>
      <w:r w:rsidR="00764117" w:rsidRPr="00A459EE">
        <w:rPr>
          <w:highlight w:val="green"/>
        </w:rPr>
        <w:t>ther induction activities</w:t>
      </w:r>
      <w:r w:rsidRPr="00A459EE">
        <w:rPr>
          <w:highlight w:val="green"/>
        </w:rPr>
        <w:t>,</w:t>
      </w:r>
      <w:r w:rsidR="00764117" w:rsidRPr="00A459EE">
        <w:rPr>
          <w:highlight w:val="green"/>
        </w:rPr>
        <w:t xml:space="preserve"> includ</w:t>
      </w:r>
      <w:r w:rsidRPr="00A459EE">
        <w:rPr>
          <w:highlight w:val="green"/>
        </w:rPr>
        <w:t>ing</w:t>
      </w:r>
      <w:r w:rsidR="00764117" w:rsidRPr="00A459EE">
        <w:rPr>
          <w:highlight w:val="green"/>
        </w:rPr>
        <w:t xml:space="preserve"> organisational site visits</w:t>
      </w:r>
      <w:r w:rsidRPr="00A459EE">
        <w:rPr>
          <w:highlight w:val="green"/>
        </w:rPr>
        <w:t>,</w:t>
      </w:r>
      <w:r w:rsidR="00764117" w:rsidRPr="00A459EE">
        <w:rPr>
          <w:highlight w:val="green"/>
        </w:rPr>
        <w:t xml:space="preserve"> opportunities to meet with </w:t>
      </w:r>
      <w:r w:rsidR="00B1102C" w:rsidRPr="00A459EE">
        <w:rPr>
          <w:highlight w:val="green"/>
        </w:rPr>
        <w:t>employees</w:t>
      </w:r>
      <w:r w:rsidR="00764117" w:rsidRPr="00A459EE">
        <w:rPr>
          <w:highlight w:val="green"/>
        </w:rPr>
        <w:t>/volunteers</w:t>
      </w:r>
      <w:r w:rsidRPr="00A459EE">
        <w:rPr>
          <w:highlight w:val="green"/>
        </w:rPr>
        <w:t>, etc</w:t>
      </w:r>
      <w:r w:rsidR="00764117" w:rsidRPr="00A459EE">
        <w:rPr>
          <w:highlight w:val="green"/>
        </w:rPr>
        <w:t>.</w:t>
      </w:r>
    </w:p>
    <w:p w14:paraId="25B2C963" w14:textId="77777777" w:rsidR="0022039C" w:rsidRPr="00F916BB" w:rsidRDefault="0022039C" w:rsidP="003D030A">
      <w:pPr>
        <w:pStyle w:val="Heading3"/>
      </w:pPr>
      <w:r w:rsidRPr="00F916BB">
        <w:t>Ongoing Training</w:t>
      </w:r>
    </w:p>
    <w:p w14:paraId="56E4AEF5" w14:textId="26BF8B87" w:rsidR="0022039C" w:rsidRPr="00700CA9" w:rsidRDefault="0022039C" w:rsidP="003D030A">
      <w:r w:rsidRPr="00700CA9">
        <w:t xml:space="preserve">It is the responsibility of </w:t>
      </w:r>
      <w:r w:rsidR="00764117">
        <w:t xml:space="preserve">all governance body members </w:t>
      </w:r>
      <w:r w:rsidRPr="00700CA9">
        <w:t xml:space="preserve">to keep up to date with and understand </w:t>
      </w:r>
      <w:r w:rsidR="00D549BF">
        <w:t xml:space="preserve">relevant policies and </w:t>
      </w:r>
      <w:r w:rsidRPr="00700CA9">
        <w:t xml:space="preserve">legislative </w:t>
      </w:r>
      <w:r w:rsidR="00D549BF">
        <w:t>responsibilities, and to develop and maintain appropriate levels of knowledge and skill to meet their governance responsibilities.</w:t>
      </w:r>
    </w:p>
    <w:p w14:paraId="402AFF9B" w14:textId="77777777" w:rsidR="009F4E87" w:rsidRDefault="006D0EBE" w:rsidP="00C75B78">
      <w:pPr>
        <w:pStyle w:val="Bulletlist"/>
      </w:pPr>
      <w:r w:rsidRPr="003E2610">
        <w:rPr>
          <w:highlight w:val="green"/>
        </w:rPr>
        <w:t xml:space="preserve">Describe </w:t>
      </w:r>
      <w:r w:rsidR="009F4E87" w:rsidRPr="003E2610">
        <w:rPr>
          <w:highlight w:val="green"/>
        </w:rPr>
        <w:t>procedures for identifying professional development needs, e.g.:</w:t>
      </w:r>
    </w:p>
    <w:p w14:paraId="23A6A449" w14:textId="1B58FE93" w:rsidR="00B957E3" w:rsidRDefault="00B957E3" w:rsidP="00C75B78">
      <w:pPr>
        <w:pStyle w:val="ListParagraph"/>
        <w:numPr>
          <w:ilvl w:val="1"/>
          <w:numId w:val="17"/>
        </w:numPr>
        <w:ind w:left="851"/>
      </w:pPr>
      <w:r w:rsidRPr="009F4E87">
        <w:rPr>
          <w:highlight w:val="yellow"/>
        </w:rPr>
        <w:t>Governance body competence and training needs is a standing agenda item for consideration at every/every second/quarterly</w:t>
      </w:r>
      <w:r w:rsidR="00C12470" w:rsidRPr="009F4E87">
        <w:rPr>
          <w:highlight w:val="yellow"/>
        </w:rPr>
        <w:t xml:space="preserve"> (remove irrelevant options) meetings.</w:t>
      </w:r>
    </w:p>
    <w:p w14:paraId="75412B97" w14:textId="45CA000D" w:rsidR="009F4E87" w:rsidRPr="008D591E" w:rsidRDefault="009F4E87" w:rsidP="00C75B78">
      <w:pPr>
        <w:pStyle w:val="ListParagraph"/>
        <w:numPr>
          <w:ilvl w:val="1"/>
          <w:numId w:val="17"/>
        </w:numPr>
        <w:ind w:left="851"/>
      </w:pPr>
      <w:r w:rsidRPr="00940F03">
        <w:rPr>
          <w:highlight w:val="yellow"/>
        </w:rPr>
        <w:t>Each newly constituted governance body completes a skills audit/gap analysis</w:t>
      </w:r>
      <w:r w:rsidR="00940F03" w:rsidRPr="00940F03">
        <w:rPr>
          <w:highlight w:val="yellow"/>
        </w:rPr>
        <w:t xml:space="preserve"> and engages in training to address identified skill/information needs.</w:t>
      </w:r>
    </w:p>
    <w:p w14:paraId="1E18DE99" w14:textId="61AAE411" w:rsidR="0022039C" w:rsidRPr="008D591E" w:rsidRDefault="008D591E" w:rsidP="00C75B78">
      <w:pPr>
        <w:pStyle w:val="Bulletlist"/>
      </w:pPr>
      <w:r>
        <w:t xml:space="preserve">Each member is responsible for identifying and raising additional information or training needs at </w:t>
      </w:r>
      <w:r w:rsidR="00B957E3">
        <w:t xml:space="preserve">governance body meetings or with the governance body </w:t>
      </w:r>
      <w:r w:rsidR="00740428" w:rsidRPr="00740428">
        <w:rPr>
          <w:highlight w:val="yellow"/>
        </w:rPr>
        <w:t>Chair/President</w:t>
      </w:r>
      <w:r w:rsidR="00B957E3">
        <w:t>.</w:t>
      </w:r>
    </w:p>
    <w:p w14:paraId="26C5EC8C" w14:textId="11C7D34E" w:rsidR="0022039C" w:rsidRPr="00700CA9" w:rsidRDefault="005B43C7" w:rsidP="003D030A">
      <w:pPr>
        <w:pStyle w:val="Heading3"/>
      </w:pPr>
      <w:r>
        <w:t>Record Keeping</w:t>
      </w:r>
    </w:p>
    <w:p w14:paraId="1B676FEF" w14:textId="15CC7935" w:rsidR="0022039C" w:rsidRDefault="0099332E" w:rsidP="003D030A">
      <w:r>
        <w:t xml:space="preserve">Documentation of recruitment, induction and training </w:t>
      </w:r>
      <w:r w:rsidR="0015151B">
        <w:t>includes, at minimum, each governance body member’s</w:t>
      </w:r>
      <w:r w:rsidR="00C11250">
        <w:t xml:space="preserve"> </w:t>
      </w:r>
      <w:r w:rsidR="00C11250" w:rsidRPr="00C11250">
        <w:rPr>
          <w:highlight w:val="yellow"/>
        </w:rPr>
        <w:t>(add items</w:t>
      </w:r>
      <w:r w:rsidR="006144AE">
        <w:rPr>
          <w:highlight w:val="yellow"/>
        </w:rPr>
        <w:t>/details</w:t>
      </w:r>
      <w:r w:rsidR="00C11250" w:rsidRPr="00C11250">
        <w:rPr>
          <w:highlight w:val="yellow"/>
        </w:rPr>
        <w:t xml:space="preserve"> as relevant)</w:t>
      </w:r>
      <w:r w:rsidR="0015151B">
        <w:t>:</w:t>
      </w:r>
    </w:p>
    <w:p w14:paraId="5C0A6971" w14:textId="4330F6AB" w:rsidR="001057A4" w:rsidRDefault="00C11250" w:rsidP="00C75B78">
      <w:pPr>
        <w:pStyle w:val="Bulletlist"/>
      </w:pPr>
      <w:r>
        <w:t>confirmation of identification</w:t>
      </w:r>
      <w:r w:rsidR="001057A4">
        <w:t xml:space="preserve"> (e.g., driver’s licence</w:t>
      </w:r>
      <w:proofErr w:type="gramStart"/>
      <w:r w:rsidR="001057A4">
        <w:t>)</w:t>
      </w:r>
      <w:r w:rsidR="001E3BB7">
        <w:t>;</w:t>
      </w:r>
      <w:proofErr w:type="gramEnd"/>
    </w:p>
    <w:p w14:paraId="56161B5F" w14:textId="0337D1D5" w:rsidR="0015151B" w:rsidRDefault="0015151B" w:rsidP="00C75B78">
      <w:pPr>
        <w:pStyle w:val="Bulletlist"/>
      </w:pPr>
      <w:r>
        <w:t xml:space="preserve">CV or </w:t>
      </w:r>
      <w:proofErr w:type="gramStart"/>
      <w:r>
        <w:t>resume</w:t>
      </w:r>
      <w:r w:rsidR="001E3BB7">
        <w:t>;</w:t>
      </w:r>
      <w:proofErr w:type="gramEnd"/>
    </w:p>
    <w:p w14:paraId="115000A4" w14:textId="5B19DEF1" w:rsidR="0015151B" w:rsidRDefault="0015151B" w:rsidP="00C75B78">
      <w:pPr>
        <w:pStyle w:val="Bulletlist"/>
      </w:pPr>
      <w:r>
        <w:t xml:space="preserve">Blue </w:t>
      </w:r>
      <w:proofErr w:type="gramStart"/>
      <w:r>
        <w:t>Card</w:t>
      </w:r>
      <w:r w:rsidR="001E3BB7">
        <w:t>;</w:t>
      </w:r>
      <w:proofErr w:type="gramEnd"/>
    </w:p>
    <w:p w14:paraId="491AB08D" w14:textId="05FA371A" w:rsidR="00242EC6" w:rsidRDefault="00242EC6" w:rsidP="00C75B78">
      <w:pPr>
        <w:pStyle w:val="Bulletlist"/>
      </w:pPr>
      <w:r>
        <w:t xml:space="preserve">date of </w:t>
      </w:r>
      <w:proofErr w:type="gramStart"/>
      <w:r>
        <w:t>appointment</w:t>
      </w:r>
      <w:r w:rsidR="001E3BB7">
        <w:t>;</w:t>
      </w:r>
      <w:proofErr w:type="gramEnd"/>
    </w:p>
    <w:p w14:paraId="43AAE6EC" w14:textId="0E202F0D" w:rsidR="00242EC6" w:rsidRDefault="00242EC6" w:rsidP="00C75B78">
      <w:pPr>
        <w:pStyle w:val="Bulletlist"/>
      </w:pPr>
      <w:r>
        <w:t>role (e.g., general member, chair</w:t>
      </w:r>
      <w:proofErr w:type="gramStart"/>
      <w:r>
        <w:t>)</w:t>
      </w:r>
      <w:r w:rsidR="001E3BB7">
        <w:t>;</w:t>
      </w:r>
      <w:proofErr w:type="gramEnd"/>
    </w:p>
    <w:p w14:paraId="688F784C" w14:textId="5170EBF8" w:rsidR="006144AE" w:rsidRDefault="006144AE" w:rsidP="00C75B78">
      <w:pPr>
        <w:pStyle w:val="Bulletlist"/>
      </w:pPr>
      <w:r>
        <w:t>induction (e.g., completion of induction checklist</w:t>
      </w:r>
      <w:proofErr w:type="gramStart"/>
      <w:r>
        <w:t>)</w:t>
      </w:r>
      <w:r w:rsidR="001E3BB7">
        <w:t>;</w:t>
      </w:r>
      <w:proofErr w:type="gramEnd"/>
    </w:p>
    <w:p w14:paraId="1CAA0724" w14:textId="36B04BF0" w:rsidR="001E3BB7" w:rsidRDefault="001E3BB7" w:rsidP="00C75B78">
      <w:pPr>
        <w:pStyle w:val="Bulletlist"/>
      </w:pPr>
      <w:r>
        <w:t>training/professional development needs identified; and</w:t>
      </w:r>
    </w:p>
    <w:p w14:paraId="449A30BF" w14:textId="63944991" w:rsidR="001E3BB7" w:rsidRDefault="001E3BB7" w:rsidP="00C75B78">
      <w:pPr>
        <w:pStyle w:val="Bulletlist"/>
      </w:pPr>
      <w:r>
        <w:t>training completed.</w:t>
      </w:r>
    </w:p>
    <w:p w14:paraId="30BF090F" w14:textId="34986693" w:rsidR="0014438E" w:rsidRDefault="0014438E" w:rsidP="003D030A">
      <w:pPr>
        <w:pStyle w:val="Heading2"/>
        <w:rPr>
          <w:bCs/>
        </w:rPr>
      </w:pPr>
      <w:r>
        <w:lastRenderedPageBreak/>
        <w:t>Governance Body Roles and Responsibilities</w:t>
      </w:r>
    </w:p>
    <w:p w14:paraId="0B07A63E" w14:textId="044B928F" w:rsidR="000E6E3E" w:rsidRDefault="000E6E3E" w:rsidP="003D030A">
      <w:pPr>
        <w:pStyle w:val="Heading3"/>
      </w:pPr>
      <w:r>
        <w:t>General Member Responsibilities</w:t>
      </w:r>
    </w:p>
    <w:p w14:paraId="1FE7633D" w14:textId="17B0ACBA" w:rsidR="00774E48" w:rsidRDefault="00774E48" w:rsidP="003D030A">
      <w:r>
        <w:t>The governance body is responsible for:</w:t>
      </w:r>
    </w:p>
    <w:p w14:paraId="51919813" w14:textId="1B9D9759" w:rsidR="003D01ED" w:rsidRDefault="003D01ED" w:rsidP="00C75B78">
      <w:pPr>
        <w:pStyle w:val="Bulletlist"/>
      </w:pPr>
      <w:r>
        <w:t>Developing and maintaining the framework for the organisation’s operations</w:t>
      </w:r>
      <w:r w:rsidR="006845BD">
        <w:t xml:space="preserve"> and compliance with relevant legislation and standards.</w:t>
      </w:r>
    </w:p>
    <w:p w14:paraId="71C1776E" w14:textId="77777777" w:rsidR="00174F3B" w:rsidRDefault="00174F3B" w:rsidP="00C75B78">
      <w:pPr>
        <w:pStyle w:val="Bulletlist"/>
      </w:pPr>
      <w:r>
        <w:t>Ensuring sufficient resources are provided for the organisation to carry out its activities, meet its legal and contractual responsibilities, and operate safely.</w:t>
      </w:r>
    </w:p>
    <w:p w14:paraId="69D49C07" w14:textId="77777777" w:rsidR="00174F3B" w:rsidRDefault="00174F3B" w:rsidP="00C75B78">
      <w:pPr>
        <w:pStyle w:val="Bulletlist"/>
      </w:pPr>
      <w:r>
        <w:t>Providing strategic direction to the organisation.</w:t>
      </w:r>
    </w:p>
    <w:p w14:paraId="2E3CB714" w14:textId="7E2AF8A4" w:rsidR="00774E48" w:rsidRDefault="00774E48" w:rsidP="00C75B78">
      <w:pPr>
        <w:pStyle w:val="Bulletlist"/>
      </w:pPr>
      <w:r>
        <w:t>Supporting and forwarding the purpose of the organisation.</w:t>
      </w:r>
    </w:p>
    <w:p w14:paraId="2051A951" w14:textId="34781321" w:rsidR="00774E48" w:rsidRDefault="00774E48" w:rsidP="00C75B78">
      <w:pPr>
        <w:pStyle w:val="Bulletlist"/>
      </w:pPr>
      <w:r>
        <w:t xml:space="preserve">Overseeing </w:t>
      </w:r>
      <w:r w:rsidR="003D01ED">
        <w:t>the quality of activities undertaken/services delivered.</w:t>
      </w:r>
    </w:p>
    <w:p w14:paraId="7EB363DD" w14:textId="2D10B451" w:rsidR="00AA18FC" w:rsidRDefault="00AA18FC" w:rsidP="00C75B78">
      <w:pPr>
        <w:pStyle w:val="Bulletlist"/>
      </w:pPr>
      <w:r>
        <w:t>Identifying and addressing issues in the quality and/or compliance of the organisation’s activities, human resources processes, risk management and financial</w:t>
      </w:r>
      <w:r w:rsidR="00174F3B">
        <w:t xml:space="preserve"> operations and reporting.</w:t>
      </w:r>
    </w:p>
    <w:p w14:paraId="3D618B53" w14:textId="74A5B700" w:rsidR="00174F3B" w:rsidRDefault="00174F3B" w:rsidP="00C75B78">
      <w:pPr>
        <w:pStyle w:val="Bulletlist"/>
      </w:pPr>
      <w:r>
        <w:t>Setting and supporting positive organisational culture.</w:t>
      </w:r>
    </w:p>
    <w:p w14:paraId="257348D0" w14:textId="20A832C4" w:rsidR="00CF74C5" w:rsidRDefault="00CF74C5" w:rsidP="00C75B78">
      <w:pPr>
        <w:pStyle w:val="Bulletlist"/>
      </w:pPr>
      <w:r>
        <w:t>Appointing and managing</w:t>
      </w:r>
      <w:r w:rsidR="00E139BE">
        <w:t xml:space="preserve"> the</w:t>
      </w:r>
      <w:r>
        <w:t xml:space="preserve"> </w:t>
      </w:r>
      <w:r w:rsidRPr="001C3D90">
        <w:rPr>
          <w:highlight w:val="yellow"/>
        </w:rPr>
        <w:t>Manager/CEO</w:t>
      </w:r>
      <w:r>
        <w:t>.</w:t>
      </w:r>
    </w:p>
    <w:p w14:paraId="7CD4FA09" w14:textId="2FFD6536" w:rsidR="00CF74C5" w:rsidRDefault="003F2D67" w:rsidP="00C75B78">
      <w:pPr>
        <w:pStyle w:val="Bulletlist"/>
      </w:pPr>
      <w:r>
        <w:t>Providing operational and management support as required.</w:t>
      </w:r>
    </w:p>
    <w:p w14:paraId="3734CDB4" w14:textId="665C8056" w:rsidR="004C0E0B" w:rsidRDefault="004C0E0B" w:rsidP="00C75B78">
      <w:pPr>
        <w:pStyle w:val="Bulletlist"/>
      </w:pPr>
      <w:r>
        <w:t xml:space="preserve">Contributing to human resources processes (e.g., recruitment) and the regular evaluation of </w:t>
      </w:r>
      <w:r w:rsidR="00CF74C5">
        <w:t>organisational leadership performance</w:t>
      </w:r>
      <w:r w:rsidR="001C3D90">
        <w:t xml:space="preserve">, including </w:t>
      </w:r>
      <w:r w:rsidR="00CF74C5" w:rsidRPr="00CF74C5">
        <w:rPr>
          <w:highlight w:val="yellow"/>
        </w:rPr>
        <w:t>Manager’s/CEO’s</w:t>
      </w:r>
      <w:r w:rsidR="001C3D90">
        <w:t xml:space="preserve"> </w:t>
      </w:r>
      <w:r w:rsidR="00CF74C5">
        <w:t>annual performance review.</w:t>
      </w:r>
    </w:p>
    <w:p w14:paraId="310A44E2" w14:textId="47566D1C" w:rsidR="003F2D67" w:rsidRDefault="003F2D67" w:rsidP="00C75B78">
      <w:pPr>
        <w:pStyle w:val="Bulletlist"/>
      </w:pPr>
      <w:r>
        <w:t xml:space="preserve">Accountable and transparent decision-making, where </w:t>
      </w:r>
      <w:r w:rsidR="00094189">
        <w:t>this is allowed by privacy and confidentiality requirements.</w:t>
      </w:r>
    </w:p>
    <w:p w14:paraId="48AC417E" w14:textId="247F1DEA" w:rsidR="005D7066" w:rsidRDefault="005D7066" w:rsidP="00C75B78">
      <w:pPr>
        <w:pStyle w:val="Bulletlist"/>
      </w:pPr>
      <w:r>
        <w:t>Monitoring and, where appropriate, intervening in risk management.</w:t>
      </w:r>
    </w:p>
    <w:p w14:paraId="5D33FB4E" w14:textId="05B44AA6" w:rsidR="00774E48" w:rsidRDefault="004C0E0B" w:rsidP="00C75B78">
      <w:pPr>
        <w:pStyle w:val="Bulletlist"/>
      </w:pPr>
      <w:r>
        <w:t>Contributing to, f</w:t>
      </w:r>
      <w:r w:rsidR="00862DD7">
        <w:t xml:space="preserve">amiliarity with and forwarding of strategic and </w:t>
      </w:r>
      <w:r w:rsidR="00862DD7" w:rsidRPr="009A211A">
        <w:rPr>
          <w:highlight w:val="yellow"/>
        </w:rPr>
        <w:t>business</w:t>
      </w:r>
      <w:r w:rsidR="009A211A" w:rsidRPr="009A211A">
        <w:rPr>
          <w:highlight w:val="yellow"/>
        </w:rPr>
        <w:t>/operational</w:t>
      </w:r>
      <w:r w:rsidR="00862DD7">
        <w:t xml:space="preserve"> plans.</w:t>
      </w:r>
    </w:p>
    <w:p w14:paraId="1A54ECB8" w14:textId="3A748894" w:rsidR="003D030A" w:rsidRDefault="003D030A" w:rsidP="00C75B78">
      <w:pPr>
        <w:pStyle w:val="Bulletlist"/>
      </w:pPr>
      <w:r>
        <w:t>Financial management of the organisation.</w:t>
      </w:r>
    </w:p>
    <w:p w14:paraId="15D7B6EC" w14:textId="08CFF7B6" w:rsidR="007549DD" w:rsidRDefault="007549DD" w:rsidP="00C75B78">
      <w:pPr>
        <w:pStyle w:val="Bulletlist"/>
      </w:pPr>
      <w:r>
        <w:t>Identifying and declaring any actual or perceived conflicts of interest.</w:t>
      </w:r>
    </w:p>
    <w:p w14:paraId="0D68ABD6" w14:textId="771C9E07" w:rsidR="0014438E" w:rsidRDefault="0014438E" w:rsidP="003D030A">
      <w:r>
        <w:t>All governance body members are responsible for:</w:t>
      </w:r>
    </w:p>
    <w:p w14:paraId="0C5E554E" w14:textId="227A29E4" w:rsidR="004767BA" w:rsidRDefault="004767BA" w:rsidP="00C75B78">
      <w:pPr>
        <w:pStyle w:val="Bulletlist"/>
      </w:pPr>
      <w:r>
        <w:t xml:space="preserve">Developing and maintaining familiarity with organisation operations and governance, including service agreements, </w:t>
      </w:r>
      <w:r w:rsidR="009665C4">
        <w:t>the legal status of the organisation, financial records and viability of the organisation, policies and procedures, and legal responsibilities.</w:t>
      </w:r>
    </w:p>
    <w:p w14:paraId="4FD8E05D" w14:textId="19767570" w:rsidR="00774E48" w:rsidRDefault="002B7F14" w:rsidP="00C75B78">
      <w:pPr>
        <w:pStyle w:val="Bulletlist"/>
      </w:pPr>
      <w:r>
        <w:t>Regularly attending meetings</w:t>
      </w:r>
      <w:r w:rsidR="009665C4">
        <w:t xml:space="preserve">, engaging in discussions and decision-making in good faith, and </w:t>
      </w:r>
      <w:r w:rsidR="00887917">
        <w:t xml:space="preserve">undertaking </w:t>
      </w:r>
      <w:r w:rsidR="009665C4">
        <w:t>agreed actions</w:t>
      </w:r>
      <w:r>
        <w:t>.</w:t>
      </w:r>
    </w:p>
    <w:p w14:paraId="6EAE270B" w14:textId="21A8B85E" w:rsidR="002B7F14" w:rsidRDefault="002B7F14" w:rsidP="00C75B78">
      <w:pPr>
        <w:pStyle w:val="Bulletlist"/>
      </w:pPr>
      <w:r w:rsidRPr="009277F6">
        <w:rPr>
          <w:highlight w:val="green"/>
        </w:rPr>
        <w:t>Reading detail regular reporting (e.g., operational/team reports, monthly financial reports)</w:t>
      </w:r>
      <w:r>
        <w:t>.</w:t>
      </w:r>
    </w:p>
    <w:p w14:paraId="42D3CBDD" w14:textId="70A068E4" w:rsidR="00774E48" w:rsidRDefault="002B7F14" w:rsidP="00C75B78">
      <w:pPr>
        <w:pStyle w:val="Bulletlist"/>
      </w:pPr>
      <w:r>
        <w:t xml:space="preserve">Identifying issues in operations or governance and raising these </w:t>
      </w:r>
      <w:r w:rsidR="004767BA">
        <w:t xml:space="preserve">as soon as practicable with the governance body, the </w:t>
      </w:r>
      <w:r w:rsidR="004767BA" w:rsidRPr="004767BA">
        <w:rPr>
          <w:highlight w:val="yellow"/>
        </w:rPr>
        <w:t>Chair/President</w:t>
      </w:r>
      <w:r w:rsidR="004767BA">
        <w:t xml:space="preserve"> or relevant authority.</w:t>
      </w:r>
    </w:p>
    <w:p w14:paraId="672CC30C" w14:textId="76DF449E" w:rsidR="0014438E" w:rsidRDefault="000E6E3E" w:rsidP="003D030A">
      <w:pPr>
        <w:pStyle w:val="Heading3"/>
      </w:pPr>
      <w:r>
        <w:t>Executive Member Responsibilities</w:t>
      </w:r>
    </w:p>
    <w:p w14:paraId="3F2D3B33" w14:textId="753015AA" w:rsidR="00086FAE" w:rsidRDefault="000E6E3E" w:rsidP="003D030A">
      <w:r>
        <w:t xml:space="preserve">Executive members accept additional responsibilities for governance. </w:t>
      </w:r>
      <w:r w:rsidR="00086FAE">
        <w:t>Executive members</w:t>
      </w:r>
      <w:r w:rsidR="004827D1">
        <w:t xml:space="preserve"> </w:t>
      </w:r>
      <w:r w:rsidR="00086FAE">
        <w:t xml:space="preserve">are </w:t>
      </w:r>
      <w:r w:rsidR="00BE5535">
        <w:t>nominated and appointed at the annual general meeting, except in cases of casual vacanc</w:t>
      </w:r>
      <w:r w:rsidR="00887917">
        <w:t>y</w:t>
      </w:r>
      <w:r w:rsidR="00BE5535">
        <w:t xml:space="preserve"> or where a </w:t>
      </w:r>
      <w:proofErr w:type="gramStart"/>
      <w:r w:rsidR="00BE5535">
        <w:t>Secretary</w:t>
      </w:r>
      <w:proofErr w:type="gramEnd"/>
      <w:r w:rsidR="00BE5535">
        <w:t xml:space="preserve"> is appointed </w:t>
      </w:r>
      <w:r w:rsidR="00887917">
        <w:t xml:space="preserve">via an alternative option </w:t>
      </w:r>
      <w:r w:rsidR="004827D1">
        <w:t>detailed below.</w:t>
      </w:r>
      <w:r w:rsidR="00435BA3">
        <w:t xml:space="preserve"> Where a casual vacancy in an executive role arises</w:t>
      </w:r>
      <w:r w:rsidR="000D61D3">
        <w:t>, the governance body may appoint a member</w:t>
      </w:r>
      <w:r w:rsidR="00C25ADF">
        <w:t>,</w:t>
      </w:r>
      <w:r w:rsidR="000D61D3">
        <w:t xml:space="preserve"> or if the casual vacancy is in the Secretary role another </w:t>
      </w:r>
      <w:r w:rsidR="00740428">
        <w:t>relevant person</w:t>
      </w:r>
      <w:r w:rsidR="00C25ADF">
        <w:t>,</w:t>
      </w:r>
      <w:r w:rsidR="00740428">
        <w:t xml:space="preserve"> to undertake the role until the next annual general meeting.</w:t>
      </w:r>
    </w:p>
    <w:p w14:paraId="2A76D90D" w14:textId="38735020" w:rsidR="0014438E" w:rsidRPr="00C25ADF" w:rsidRDefault="0014438E" w:rsidP="003D030A">
      <w:r>
        <w:t xml:space="preserve">The Secretary may be a member of the governance body or appointed from organisational </w:t>
      </w:r>
      <w:r w:rsidR="00B1102C">
        <w:t>employees</w:t>
      </w:r>
      <w:r>
        <w:t xml:space="preserve"> or membership </w:t>
      </w:r>
      <w:r w:rsidRPr="00E87389">
        <w:rPr>
          <w:highlight w:val="yellow"/>
        </w:rPr>
        <w:t>(adapt as appropriate)</w:t>
      </w:r>
      <w:r>
        <w:t>. The Secretary is responsible for</w:t>
      </w:r>
      <w:r w:rsidR="00E87389">
        <w:t xml:space="preserve"> </w:t>
      </w:r>
      <w:r w:rsidR="00E87389" w:rsidRPr="00C25ADF">
        <w:rPr>
          <w:highlight w:val="yellow"/>
        </w:rPr>
        <w:t>(add/adapt as appropriate for your organisation)</w:t>
      </w:r>
      <w:r w:rsidRPr="00C25ADF">
        <w:rPr>
          <w:highlight w:val="yellow"/>
        </w:rPr>
        <w:t>:</w:t>
      </w:r>
    </w:p>
    <w:p w14:paraId="63953395" w14:textId="1762C60A" w:rsidR="001307F3" w:rsidRPr="00C25ADF" w:rsidRDefault="001307F3" w:rsidP="00C75B78">
      <w:pPr>
        <w:pStyle w:val="Bulletlist"/>
      </w:pPr>
      <w:r w:rsidRPr="00C25ADF">
        <w:t>Distributing agendas and other documents in advance of meetings</w:t>
      </w:r>
      <w:r w:rsidR="003E66B9" w:rsidRPr="00C25ADF">
        <w:t>.</w:t>
      </w:r>
    </w:p>
    <w:p w14:paraId="6B1E6339" w14:textId="5B2C837F" w:rsidR="003E66B9" w:rsidRPr="00C25ADF" w:rsidRDefault="003E66B9" w:rsidP="00C75B78">
      <w:pPr>
        <w:pStyle w:val="Bulletlist"/>
      </w:pPr>
      <w:r w:rsidRPr="00C25ADF">
        <w:t>Formal record keeping, including the creation and ratification of meeting minutes that clearly document discussions</w:t>
      </w:r>
      <w:r w:rsidR="00767DD6" w:rsidRPr="00C25ADF">
        <w:t xml:space="preserve">, </w:t>
      </w:r>
      <w:proofErr w:type="gramStart"/>
      <w:r w:rsidR="00767DD6" w:rsidRPr="00C25ADF">
        <w:t>decisions</w:t>
      </w:r>
      <w:proofErr w:type="gramEnd"/>
      <w:r w:rsidR="00767DD6" w:rsidRPr="00C25ADF">
        <w:t xml:space="preserve"> and follow-up actions</w:t>
      </w:r>
      <w:r w:rsidRPr="00C25ADF">
        <w:t>.</w:t>
      </w:r>
    </w:p>
    <w:p w14:paraId="0D08868A" w14:textId="7A4560E7" w:rsidR="003E66B9" w:rsidRPr="00C25ADF" w:rsidRDefault="003E66B9" w:rsidP="00C75B78">
      <w:pPr>
        <w:pStyle w:val="Bulletlist"/>
      </w:pPr>
      <w:r w:rsidRPr="00C25ADF">
        <w:t>Coordinating and contributing to annual reports.</w:t>
      </w:r>
    </w:p>
    <w:p w14:paraId="41A8F1BC" w14:textId="56F2E575" w:rsidR="00A34FD2" w:rsidRPr="00C25ADF" w:rsidRDefault="00A34FD2" w:rsidP="00C75B78">
      <w:pPr>
        <w:pStyle w:val="Bulletlist"/>
      </w:pPr>
      <w:r w:rsidRPr="00C25ADF">
        <w:lastRenderedPageBreak/>
        <w:t>Acting a</w:t>
      </w:r>
      <w:r w:rsidR="002D41F0" w:rsidRPr="00C25ADF">
        <w:t>s</w:t>
      </w:r>
      <w:r w:rsidRPr="00C25ADF">
        <w:t xml:space="preserve"> an official point of contact for the organisation</w:t>
      </w:r>
      <w:r w:rsidR="002D41F0" w:rsidRPr="00C25ADF">
        <w:t xml:space="preserve"> and managing/overseeing formal correspondence</w:t>
      </w:r>
      <w:r w:rsidRPr="00C25ADF">
        <w:t>.</w:t>
      </w:r>
    </w:p>
    <w:p w14:paraId="604D496D" w14:textId="77777777" w:rsidR="002D41F0" w:rsidRPr="00C25ADF" w:rsidRDefault="002D41F0" w:rsidP="00C75B78">
      <w:pPr>
        <w:pStyle w:val="Bulletlist"/>
      </w:pPr>
      <w:r w:rsidRPr="00C25ADF">
        <w:t>Compliance monitoring and reporting.</w:t>
      </w:r>
    </w:p>
    <w:p w14:paraId="41991E4B" w14:textId="19BF3A51" w:rsidR="00767DD6" w:rsidRPr="002C2172" w:rsidRDefault="00A34FD2" w:rsidP="00C75B78">
      <w:pPr>
        <w:pStyle w:val="Bulletlist"/>
      </w:pPr>
      <w:r w:rsidRPr="00C25ADF">
        <w:t>Ensuring reporting requirements are met, including obligations in relation to annual and financial reports</w:t>
      </w:r>
      <w:r w:rsidR="00767DD6" w:rsidRPr="00C25ADF">
        <w:t xml:space="preserve">, </w:t>
      </w:r>
      <w:r w:rsidR="00767DD6" w:rsidRPr="002C2172">
        <w:t>including the</w:t>
      </w:r>
      <w:r w:rsidR="00682465">
        <w:t xml:space="preserve"> </w:t>
      </w:r>
      <w:r w:rsidR="00682465" w:rsidRPr="00682465">
        <w:rPr>
          <w:highlight w:val="yellow"/>
        </w:rPr>
        <w:t>(remove/add items as appropriate)</w:t>
      </w:r>
      <w:r w:rsidR="00767DD6" w:rsidRPr="002C2172">
        <w:t>:</w:t>
      </w:r>
    </w:p>
    <w:p w14:paraId="2258958C" w14:textId="5AB0297E" w:rsidR="00C56DAE" w:rsidRPr="002C2172" w:rsidRDefault="00C56DAE" w:rsidP="003A0B4A">
      <w:pPr>
        <w:pStyle w:val="ListParagraph"/>
        <w:numPr>
          <w:ilvl w:val="1"/>
          <w:numId w:val="20"/>
        </w:numPr>
        <w:spacing w:before="160"/>
        <w:ind w:left="993"/>
        <w:rPr>
          <w:rFonts w:eastAsiaTheme="minorEastAsia"/>
        </w:rPr>
      </w:pPr>
      <w:r w:rsidRPr="002C2172">
        <w:rPr>
          <w:rFonts w:eastAsiaTheme="minorEastAsia"/>
        </w:rPr>
        <w:t>Australian Chari</w:t>
      </w:r>
      <w:r w:rsidR="002D41F0" w:rsidRPr="002C2172">
        <w:rPr>
          <w:rFonts w:eastAsiaTheme="minorEastAsia"/>
        </w:rPr>
        <w:t>ties</w:t>
      </w:r>
      <w:r w:rsidRPr="002C2172">
        <w:rPr>
          <w:rFonts w:eastAsiaTheme="minorEastAsia"/>
        </w:rPr>
        <w:t xml:space="preserve"> and Not-for-profit</w:t>
      </w:r>
      <w:r w:rsidR="002D41F0" w:rsidRPr="002C2172">
        <w:rPr>
          <w:rFonts w:eastAsiaTheme="minorEastAsia"/>
        </w:rPr>
        <w:t>s</w:t>
      </w:r>
      <w:r w:rsidRPr="002C2172">
        <w:rPr>
          <w:rFonts w:eastAsiaTheme="minorEastAsia"/>
        </w:rPr>
        <w:t xml:space="preserve"> Commission </w:t>
      </w:r>
      <w:r w:rsidR="002D41F0" w:rsidRPr="002C2172">
        <w:rPr>
          <w:rFonts w:eastAsiaTheme="minorEastAsia"/>
        </w:rPr>
        <w:t>annual return; and</w:t>
      </w:r>
    </w:p>
    <w:p w14:paraId="54122535" w14:textId="535E282E" w:rsidR="002D41F0" w:rsidRPr="002C2172" w:rsidRDefault="002D41F0" w:rsidP="003A0B4A">
      <w:pPr>
        <w:pStyle w:val="ListParagraph"/>
        <w:numPr>
          <w:ilvl w:val="1"/>
          <w:numId w:val="20"/>
        </w:numPr>
        <w:spacing w:before="160"/>
        <w:ind w:left="993"/>
        <w:rPr>
          <w:rFonts w:eastAsiaTheme="minorEastAsia"/>
        </w:rPr>
      </w:pPr>
      <w:r w:rsidRPr="002C2172">
        <w:rPr>
          <w:rFonts w:eastAsiaTheme="minorEastAsia"/>
        </w:rPr>
        <w:t xml:space="preserve">Office of </w:t>
      </w:r>
      <w:proofErr w:type="gramStart"/>
      <w:r w:rsidRPr="002C2172">
        <w:rPr>
          <w:rFonts w:eastAsiaTheme="minorEastAsia"/>
        </w:rPr>
        <w:t>Fair Trading</w:t>
      </w:r>
      <w:proofErr w:type="gramEnd"/>
      <w:r w:rsidRPr="002C2172">
        <w:rPr>
          <w:rFonts w:eastAsiaTheme="minorEastAsia"/>
        </w:rPr>
        <w:t xml:space="preserve"> return.</w:t>
      </w:r>
    </w:p>
    <w:p w14:paraId="08D6DEFD" w14:textId="0613BFD5" w:rsidR="0014438E" w:rsidRDefault="0014438E" w:rsidP="003D030A">
      <w:r>
        <w:t xml:space="preserve">The Treasurer is </w:t>
      </w:r>
      <w:r w:rsidR="00740428">
        <w:t>responsible for:</w:t>
      </w:r>
    </w:p>
    <w:p w14:paraId="1CA16A9A" w14:textId="77777777" w:rsidR="003D030A" w:rsidRPr="003D030A" w:rsidRDefault="003D030A" w:rsidP="00C75B78">
      <w:pPr>
        <w:pStyle w:val="Bulletlist"/>
      </w:pPr>
      <w:r w:rsidRPr="003D030A">
        <w:t>E</w:t>
      </w:r>
      <w:r w:rsidR="00D011A8" w:rsidRPr="003D030A">
        <w:t>nsuring that financial transactions are properly recorded and reported on</w:t>
      </w:r>
      <w:r>
        <w:t>.</w:t>
      </w:r>
    </w:p>
    <w:p w14:paraId="2BDFEF3F" w14:textId="77777777" w:rsidR="003D030A" w:rsidRPr="003D030A" w:rsidRDefault="003D030A" w:rsidP="00C75B78">
      <w:pPr>
        <w:pStyle w:val="Bulletlist"/>
      </w:pPr>
      <w:r>
        <w:t>C</w:t>
      </w:r>
      <w:r w:rsidR="00D011A8" w:rsidRPr="003D030A">
        <w:t>ontinuously evaluating the financial sustainability of the organisation.</w:t>
      </w:r>
    </w:p>
    <w:p w14:paraId="015E13BC" w14:textId="77777777" w:rsidR="00476935" w:rsidRPr="00476935" w:rsidRDefault="003D030A" w:rsidP="00C75B78">
      <w:pPr>
        <w:pStyle w:val="Bulletlist"/>
      </w:pPr>
      <w:r>
        <w:t>P</w:t>
      </w:r>
      <w:r w:rsidR="00D011A8" w:rsidRPr="003D030A">
        <w:t>resent</w:t>
      </w:r>
      <w:r>
        <w:t>ing</w:t>
      </w:r>
      <w:r w:rsidR="00D011A8" w:rsidRPr="003D030A">
        <w:t xml:space="preserve"> financial reports at </w:t>
      </w:r>
      <w:r>
        <w:t xml:space="preserve">governance body </w:t>
      </w:r>
      <w:r w:rsidR="00D011A8" w:rsidRPr="003D030A">
        <w:t>meetings</w:t>
      </w:r>
      <w:r>
        <w:t xml:space="preserve"> and </w:t>
      </w:r>
      <w:proofErr w:type="gramStart"/>
      <w:r>
        <w:t>providing assistance to</w:t>
      </w:r>
      <w:proofErr w:type="gramEnd"/>
      <w:r>
        <w:t xml:space="preserve"> members to ensure understanding of </w:t>
      </w:r>
      <w:r w:rsidR="00476935">
        <w:t>these reports</w:t>
      </w:r>
      <w:r w:rsidR="00D011A8" w:rsidRPr="003D030A">
        <w:t>.</w:t>
      </w:r>
    </w:p>
    <w:p w14:paraId="406F9705" w14:textId="77777777" w:rsidR="00476935" w:rsidRPr="00476935" w:rsidRDefault="00476935" w:rsidP="00C75B78">
      <w:pPr>
        <w:pStyle w:val="Bulletlist"/>
      </w:pPr>
      <w:r>
        <w:t xml:space="preserve">Ensuring that </w:t>
      </w:r>
      <w:r w:rsidR="00D011A8" w:rsidRPr="003D030A">
        <w:t>appropriate and secure systems are in place for managing finances</w:t>
      </w:r>
      <w:r>
        <w:t>.</w:t>
      </w:r>
    </w:p>
    <w:p w14:paraId="2015F711" w14:textId="77777777" w:rsidR="00476935" w:rsidRPr="00476935" w:rsidRDefault="00476935" w:rsidP="00C75B78">
      <w:pPr>
        <w:pStyle w:val="Bulletlist"/>
      </w:pPr>
      <w:r>
        <w:t>T</w:t>
      </w:r>
      <w:r w:rsidR="00D011A8" w:rsidRPr="003D030A">
        <w:t>he preparation of an appropriate and realistic annual budget</w:t>
      </w:r>
      <w:r>
        <w:t>.</w:t>
      </w:r>
    </w:p>
    <w:p w14:paraId="28CD7EFF" w14:textId="77777777" w:rsidR="00AA7EE2" w:rsidRPr="00AA7EE2" w:rsidRDefault="00476935" w:rsidP="00C75B78">
      <w:pPr>
        <w:pStyle w:val="Bulletlist"/>
      </w:pPr>
      <w:r>
        <w:t>R</w:t>
      </w:r>
      <w:r w:rsidR="00D011A8" w:rsidRPr="003D030A">
        <w:t xml:space="preserve">egularly monitoring </w:t>
      </w:r>
      <w:r w:rsidR="00AA7EE2">
        <w:t>expenditure against the budget.</w:t>
      </w:r>
    </w:p>
    <w:p w14:paraId="3DE334AC" w14:textId="77777777" w:rsidR="00AA7EE2" w:rsidRPr="00AA7EE2" w:rsidRDefault="00AA7EE2" w:rsidP="00C75B78">
      <w:pPr>
        <w:pStyle w:val="Bulletlist"/>
      </w:pPr>
      <w:r>
        <w:t>R</w:t>
      </w:r>
      <w:r w:rsidR="00D011A8" w:rsidRPr="003D030A">
        <w:t>eviewing and approving payments</w:t>
      </w:r>
      <w:r>
        <w:t>.</w:t>
      </w:r>
    </w:p>
    <w:p w14:paraId="1B17DAA5" w14:textId="77777777" w:rsidR="00AA7EE2" w:rsidRPr="00AA7EE2" w:rsidRDefault="00AA7EE2" w:rsidP="00C75B78">
      <w:pPr>
        <w:pStyle w:val="Bulletlist"/>
      </w:pPr>
      <w:r>
        <w:t>M</w:t>
      </w:r>
      <w:r w:rsidR="00D011A8" w:rsidRPr="003D030A">
        <w:t>onitoring for inappropriate or fraudulent financial activity</w:t>
      </w:r>
    </w:p>
    <w:p w14:paraId="721C1A18" w14:textId="20F3ED11" w:rsidR="00740428" w:rsidRPr="00882215" w:rsidRDefault="00AA7EE2" w:rsidP="00C75B78">
      <w:pPr>
        <w:pStyle w:val="Bulletlist"/>
      </w:pPr>
      <w:r>
        <w:t>P</w:t>
      </w:r>
      <w:r w:rsidR="00D011A8" w:rsidRPr="003D030A">
        <w:t xml:space="preserve">resenting audited statements and </w:t>
      </w:r>
      <w:r>
        <w:t xml:space="preserve">the Treasurer’s </w:t>
      </w:r>
      <w:r w:rsidR="00D011A8" w:rsidRPr="003D030A">
        <w:t xml:space="preserve">report at </w:t>
      </w:r>
      <w:r w:rsidR="004C0E0B">
        <w:t>annual general meetings</w:t>
      </w:r>
      <w:r w:rsidR="00D011A8" w:rsidRPr="003D030A">
        <w:t>.</w:t>
      </w:r>
    </w:p>
    <w:p w14:paraId="0A409B2B" w14:textId="77777777" w:rsidR="00682465" w:rsidRPr="002C2172" w:rsidRDefault="00682465" w:rsidP="00C75B78">
      <w:pPr>
        <w:pStyle w:val="Bulletlist"/>
      </w:pPr>
      <w:r w:rsidRPr="00C25ADF">
        <w:t xml:space="preserve">Ensuring reporting requirements are met, including obligations in relation to annual and financial reports, </w:t>
      </w:r>
      <w:r w:rsidRPr="002C2172">
        <w:t>including the</w:t>
      </w:r>
      <w:r>
        <w:t xml:space="preserve"> </w:t>
      </w:r>
      <w:r w:rsidRPr="00682465">
        <w:rPr>
          <w:highlight w:val="yellow"/>
        </w:rPr>
        <w:t>(remove/add items as appropriate)</w:t>
      </w:r>
      <w:r w:rsidRPr="002C2172">
        <w:t>:</w:t>
      </w:r>
    </w:p>
    <w:p w14:paraId="6B8D6F73" w14:textId="77777777" w:rsidR="00682465" w:rsidRPr="002C2172" w:rsidRDefault="00682465" w:rsidP="003A0B4A">
      <w:pPr>
        <w:pStyle w:val="ListParagraph"/>
        <w:numPr>
          <w:ilvl w:val="1"/>
          <w:numId w:val="21"/>
        </w:numPr>
        <w:spacing w:before="160"/>
        <w:ind w:left="993"/>
        <w:rPr>
          <w:rFonts w:eastAsiaTheme="minorEastAsia"/>
        </w:rPr>
      </w:pPr>
      <w:r w:rsidRPr="002C2172">
        <w:rPr>
          <w:rFonts w:eastAsiaTheme="minorEastAsia"/>
        </w:rPr>
        <w:t>Australian Charities and Not-for-profits Commission annual return; and</w:t>
      </w:r>
    </w:p>
    <w:p w14:paraId="752285AE" w14:textId="133AB31A" w:rsidR="00882215" w:rsidRPr="00682465" w:rsidRDefault="00682465" w:rsidP="003A0B4A">
      <w:pPr>
        <w:pStyle w:val="ListParagraph"/>
        <w:numPr>
          <w:ilvl w:val="1"/>
          <w:numId w:val="21"/>
        </w:numPr>
        <w:spacing w:before="160"/>
        <w:ind w:left="993"/>
        <w:rPr>
          <w:rFonts w:eastAsiaTheme="minorEastAsia"/>
        </w:rPr>
      </w:pPr>
      <w:r w:rsidRPr="002C2172">
        <w:rPr>
          <w:rFonts w:eastAsiaTheme="minorEastAsia"/>
        </w:rPr>
        <w:t xml:space="preserve">Office of </w:t>
      </w:r>
      <w:proofErr w:type="gramStart"/>
      <w:r w:rsidRPr="002C2172">
        <w:rPr>
          <w:rFonts w:eastAsiaTheme="minorEastAsia"/>
        </w:rPr>
        <w:t>Fair Trading</w:t>
      </w:r>
      <w:proofErr w:type="gramEnd"/>
      <w:r w:rsidRPr="002C2172">
        <w:rPr>
          <w:rFonts w:eastAsiaTheme="minorEastAsia"/>
        </w:rPr>
        <w:t xml:space="preserve"> return.</w:t>
      </w:r>
    </w:p>
    <w:p w14:paraId="1AADA55B" w14:textId="45930865" w:rsidR="00740428" w:rsidRDefault="00740428" w:rsidP="003D030A">
      <w:r>
        <w:t xml:space="preserve">The </w:t>
      </w:r>
      <w:r w:rsidRPr="00740428">
        <w:rPr>
          <w:highlight w:val="yellow"/>
        </w:rPr>
        <w:t>Chair/President</w:t>
      </w:r>
      <w:r>
        <w:t xml:space="preserve"> is responsible for:</w:t>
      </w:r>
    </w:p>
    <w:p w14:paraId="5CE42D93" w14:textId="77777777" w:rsidR="00CF74C5" w:rsidRDefault="00CF74C5" w:rsidP="00C75B78">
      <w:pPr>
        <w:pStyle w:val="Bulletlist"/>
      </w:pPr>
      <w:r w:rsidRPr="00CF74C5">
        <w:t>T</w:t>
      </w:r>
      <w:r w:rsidR="00AA155D" w:rsidRPr="00CF74C5">
        <w:t>he orderly and correct conduct of meetings</w:t>
      </w:r>
      <w:r>
        <w:t>.</w:t>
      </w:r>
    </w:p>
    <w:p w14:paraId="50A43EAA" w14:textId="77777777" w:rsidR="00CF74C5" w:rsidRDefault="00CF74C5" w:rsidP="00C75B78">
      <w:pPr>
        <w:pStyle w:val="Bulletlist"/>
      </w:pPr>
      <w:r>
        <w:t>S</w:t>
      </w:r>
      <w:r w:rsidR="00AA155D" w:rsidRPr="00CF74C5">
        <w:t>igning official communications</w:t>
      </w:r>
      <w:r>
        <w:t>.</w:t>
      </w:r>
    </w:p>
    <w:p w14:paraId="2943A3DC" w14:textId="77777777" w:rsidR="007A5B02" w:rsidRDefault="00CF74C5" w:rsidP="00C75B78">
      <w:pPr>
        <w:pStyle w:val="Bulletlist"/>
      </w:pPr>
      <w:r>
        <w:t>R</w:t>
      </w:r>
      <w:r w:rsidR="00AA155D" w:rsidRPr="00CF74C5">
        <w:t>eceiving and disseminating communications from government departments</w:t>
      </w:r>
      <w:r w:rsidR="007A5B02">
        <w:t>.</w:t>
      </w:r>
    </w:p>
    <w:p w14:paraId="3C6EA6AC" w14:textId="6A9709D2" w:rsidR="00AA155D" w:rsidRDefault="007A5B02" w:rsidP="00C75B78">
      <w:pPr>
        <w:pStyle w:val="Bulletlist"/>
      </w:pPr>
      <w:r>
        <w:t>A</w:t>
      </w:r>
      <w:r w:rsidR="00AA155D" w:rsidRPr="00CF74C5">
        <w:t>cting as a</w:t>
      </w:r>
      <w:r>
        <w:t>n organisational</w:t>
      </w:r>
      <w:r w:rsidR="00AA155D" w:rsidRPr="00CF74C5">
        <w:t xml:space="preserve"> spokesperson and representative.</w:t>
      </w:r>
    </w:p>
    <w:p w14:paraId="72072CDB" w14:textId="77777777" w:rsidR="00682465" w:rsidRPr="002C2172" w:rsidRDefault="00682465" w:rsidP="00C75B78">
      <w:pPr>
        <w:pStyle w:val="Bulletlist"/>
      </w:pPr>
      <w:r w:rsidRPr="00C25ADF">
        <w:t xml:space="preserve">Ensuring reporting requirements are met, including obligations in relation to annual and financial reports, </w:t>
      </w:r>
      <w:r w:rsidRPr="002C2172">
        <w:t>including the</w:t>
      </w:r>
      <w:r>
        <w:t xml:space="preserve"> </w:t>
      </w:r>
      <w:r w:rsidRPr="00682465">
        <w:rPr>
          <w:highlight w:val="yellow"/>
        </w:rPr>
        <w:t>(remove/add items as appropriate)</w:t>
      </w:r>
      <w:r w:rsidRPr="002C2172">
        <w:t>:</w:t>
      </w:r>
    </w:p>
    <w:p w14:paraId="1850B650" w14:textId="77777777" w:rsidR="00682465" w:rsidRPr="002C2172" w:rsidRDefault="00682465" w:rsidP="003A0B4A">
      <w:pPr>
        <w:pStyle w:val="ListParagraph"/>
        <w:numPr>
          <w:ilvl w:val="1"/>
          <w:numId w:val="22"/>
        </w:numPr>
        <w:spacing w:before="160"/>
        <w:ind w:left="993"/>
        <w:rPr>
          <w:rFonts w:eastAsiaTheme="minorEastAsia"/>
        </w:rPr>
      </w:pPr>
      <w:r w:rsidRPr="002C2172">
        <w:rPr>
          <w:rFonts w:eastAsiaTheme="minorEastAsia"/>
        </w:rPr>
        <w:t>Australian Charities and Not-for-profits Commission annual return; and</w:t>
      </w:r>
    </w:p>
    <w:p w14:paraId="1E77636B" w14:textId="55E7245D" w:rsidR="00882215" w:rsidRPr="00682465" w:rsidRDefault="00682465" w:rsidP="003A0B4A">
      <w:pPr>
        <w:pStyle w:val="ListParagraph"/>
        <w:numPr>
          <w:ilvl w:val="1"/>
          <w:numId w:val="22"/>
        </w:numPr>
        <w:spacing w:before="160"/>
        <w:ind w:left="993"/>
        <w:rPr>
          <w:rFonts w:eastAsiaTheme="minorEastAsia"/>
        </w:rPr>
      </w:pPr>
      <w:r w:rsidRPr="002C2172">
        <w:rPr>
          <w:rFonts w:eastAsiaTheme="minorEastAsia"/>
        </w:rPr>
        <w:t xml:space="preserve">Office of </w:t>
      </w:r>
      <w:proofErr w:type="gramStart"/>
      <w:r w:rsidRPr="002C2172">
        <w:rPr>
          <w:rFonts w:eastAsiaTheme="minorEastAsia"/>
        </w:rPr>
        <w:t>Fair Trading</w:t>
      </w:r>
      <w:proofErr w:type="gramEnd"/>
      <w:r w:rsidRPr="002C2172">
        <w:rPr>
          <w:rFonts w:eastAsiaTheme="minorEastAsia"/>
        </w:rPr>
        <w:t xml:space="preserve"> return.</w:t>
      </w:r>
    </w:p>
    <w:p w14:paraId="79478B00" w14:textId="3F4B6651" w:rsidR="007A5B02" w:rsidRDefault="00740428" w:rsidP="0022529B">
      <w:r w:rsidRPr="00C25ADF">
        <w:rPr>
          <w:highlight w:val="green"/>
        </w:rPr>
        <w:t xml:space="preserve">If the organisation has a </w:t>
      </w:r>
      <w:r w:rsidR="00BA7703" w:rsidRPr="00C25ADF">
        <w:rPr>
          <w:highlight w:val="green"/>
        </w:rPr>
        <w:t>V</w:t>
      </w:r>
      <w:r w:rsidRPr="00C25ADF">
        <w:rPr>
          <w:highlight w:val="green"/>
        </w:rPr>
        <w:t>ice</w:t>
      </w:r>
      <w:r w:rsidR="00BA7703" w:rsidRPr="00C25ADF">
        <w:rPr>
          <w:highlight w:val="green"/>
        </w:rPr>
        <w:t>/Deputy</w:t>
      </w:r>
      <w:r w:rsidRPr="00C25ADF">
        <w:rPr>
          <w:highlight w:val="green"/>
        </w:rPr>
        <w:t xml:space="preserve"> </w:t>
      </w:r>
      <w:r w:rsidR="00BA7703" w:rsidRPr="00C25ADF">
        <w:rPr>
          <w:highlight w:val="green"/>
        </w:rPr>
        <w:t>C</w:t>
      </w:r>
      <w:r w:rsidRPr="00C25ADF">
        <w:rPr>
          <w:highlight w:val="green"/>
        </w:rPr>
        <w:t>hair/</w:t>
      </w:r>
      <w:r w:rsidR="00BA7703" w:rsidRPr="00C25ADF">
        <w:rPr>
          <w:highlight w:val="green"/>
        </w:rPr>
        <w:t>P</w:t>
      </w:r>
      <w:r w:rsidRPr="00C25ADF">
        <w:rPr>
          <w:highlight w:val="green"/>
        </w:rPr>
        <w:t>resident, detail their role/responsibilities here.</w:t>
      </w:r>
      <w:r w:rsidR="007A5B02" w:rsidRPr="00C25ADF">
        <w:rPr>
          <w:highlight w:val="green"/>
        </w:rPr>
        <w:t xml:space="preserve"> E.g</w:t>
      </w:r>
      <w:r w:rsidR="0022529B" w:rsidRPr="00C25ADF">
        <w:rPr>
          <w:highlight w:val="green"/>
        </w:rPr>
        <w:t xml:space="preserve">. </w:t>
      </w:r>
      <w:r w:rsidR="007A5B02" w:rsidRPr="00C25ADF">
        <w:rPr>
          <w:rFonts w:eastAsiaTheme="minorEastAsia"/>
          <w:highlight w:val="green"/>
        </w:rPr>
        <w:t>The deputy helps with some of the chair’s tasks (e.g., facilitating meetings when the chair is unavailable, but the chair remains legally responsibility for meeting their legal responsibilities.</w:t>
      </w:r>
    </w:p>
    <w:p w14:paraId="61892E18" w14:textId="2DE12116" w:rsidR="0022039C" w:rsidRPr="00700CA9" w:rsidRDefault="0022039C" w:rsidP="003D030A">
      <w:pPr>
        <w:pStyle w:val="Heading2"/>
      </w:pPr>
      <w:r w:rsidRPr="00700CA9">
        <w:t xml:space="preserve">Governance </w:t>
      </w:r>
      <w:r w:rsidR="001F5411">
        <w:t>P</w:t>
      </w:r>
      <w:r w:rsidRPr="00700CA9">
        <w:t>rocesses</w:t>
      </w:r>
    </w:p>
    <w:p w14:paraId="3786A02E" w14:textId="60FE5471" w:rsidR="0022039C" w:rsidRPr="00444FE7" w:rsidRDefault="008B44E9" w:rsidP="00C75B78">
      <w:pPr>
        <w:pStyle w:val="Bulletlist"/>
      </w:pPr>
      <w:r>
        <w:t>Our governance framework includes</w:t>
      </w:r>
      <w:r w:rsidR="00306C16">
        <w:t xml:space="preserve"> </w:t>
      </w:r>
      <w:r w:rsidR="00306C16" w:rsidRPr="00B86405">
        <w:rPr>
          <w:highlight w:val="yellow"/>
        </w:rPr>
        <w:t>r</w:t>
      </w:r>
      <w:r w:rsidR="00D60852" w:rsidRPr="00B86405">
        <w:rPr>
          <w:highlight w:val="yellow"/>
        </w:rPr>
        <w:t>ules/constitution/</w:t>
      </w:r>
      <w:r w:rsidR="004C2AF0">
        <w:rPr>
          <w:highlight w:val="yellow"/>
        </w:rPr>
        <w:t xml:space="preserve">trust </w:t>
      </w:r>
      <w:r w:rsidR="00D60852" w:rsidRPr="00B86405">
        <w:rPr>
          <w:highlight w:val="yellow"/>
        </w:rPr>
        <w:t>deed</w:t>
      </w:r>
      <w:r w:rsidR="00B86405">
        <w:t xml:space="preserve"> </w:t>
      </w:r>
      <w:r w:rsidR="00306C16">
        <w:t xml:space="preserve">and governance systems, processes and supporting models/guideline </w:t>
      </w:r>
      <w:r w:rsidR="00306C16" w:rsidRPr="00306C16">
        <w:rPr>
          <w:highlight w:val="green"/>
        </w:rPr>
        <w:t>(detail relevant system</w:t>
      </w:r>
      <w:r w:rsidR="00306C16">
        <w:rPr>
          <w:highlight w:val="green"/>
        </w:rPr>
        <w:t>s, such as those below</w:t>
      </w:r>
      <w:r w:rsidR="00306C16" w:rsidRPr="00306C16">
        <w:rPr>
          <w:highlight w:val="green"/>
        </w:rPr>
        <w:t>)</w:t>
      </w:r>
      <w:r w:rsidR="00306C16">
        <w:t>:</w:t>
      </w:r>
    </w:p>
    <w:p w14:paraId="78982099" w14:textId="3955E865" w:rsidR="00306C16" w:rsidRPr="00694452" w:rsidRDefault="00306C16" w:rsidP="003A0B4A">
      <w:pPr>
        <w:pStyle w:val="ListParagraph"/>
        <w:numPr>
          <w:ilvl w:val="1"/>
          <w:numId w:val="17"/>
        </w:numPr>
        <w:ind w:left="993"/>
      </w:pPr>
      <w:r w:rsidRPr="00694452">
        <w:rPr>
          <w:highlight w:val="yellow"/>
        </w:rPr>
        <w:t>R</w:t>
      </w:r>
      <w:r w:rsidR="00B42676" w:rsidRPr="00694452">
        <w:rPr>
          <w:highlight w:val="yellow"/>
        </w:rPr>
        <w:t>egular governance body meetings</w:t>
      </w:r>
      <w:r w:rsidRPr="00694452">
        <w:rPr>
          <w:highlight w:val="yellow"/>
        </w:rPr>
        <w:t xml:space="preserve"> and key aspects covered at these.</w:t>
      </w:r>
    </w:p>
    <w:p w14:paraId="68FE9618" w14:textId="77777777" w:rsidR="00306C16" w:rsidRPr="00694452" w:rsidRDefault="00306C16" w:rsidP="003A0B4A">
      <w:pPr>
        <w:pStyle w:val="ListParagraph"/>
        <w:numPr>
          <w:ilvl w:val="1"/>
          <w:numId w:val="17"/>
        </w:numPr>
        <w:ind w:left="993"/>
      </w:pPr>
      <w:r w:rsidRPr="00694452">
        <w:rPr>
          <w:highlight w:val="yellow"/>
        </w:rPr>
        <w:t>G</w:t>
      </w:r>
      <w:r w:rsidR="00B42676" w:rsidRPr="00694452">
        <w:rPr>
          <w:highlight w:val="yellow"/>
        </w:rPr>
        <w:t>overnance body committees/subcommittees</w:t>
      </w:r>
      <w:r w:rsidRPr="00694452">
        <w:rPr>
          <w:highlight w:val="yellow"/>
        </w:rPr>
        <w:t xml:space="preserve"> and their purposes.</w:t>
      </w:r>
    </w:p>
    <w:p w14:paraId="14D1E0CA" w14:textId="27B347FC" w:rsidR="00B86405" w:rsidRPr="00694452" w:rsidRDefault="00B86405" w:rsidP="003A0B4A">
      <w:pPr>
        <w:pStyle w:val="ListParagraph"/>
        <w:numPr>
          <w:ilvl w:val="1"/>
          <w:numId w:val="17"/>
        </w:numPr>
        <w:ind w:left="993"/>
      </w:pPr>
      <w:r w:rsidRPr="00694452">
        <w:rPr>
          <w:highlight w:val="yellow"/>
        </w:rPr>
        <w:t xml:space="preserve">Processes for identifying, </w:t>
      </w:r>
      <w:proofErr w:type="gramStart"/>
      <w:r w:rsidRPr="00694452">
        <w:rPr>
          <w:highlight w:val="yellow"/>
        </w:rPr>
        <w:t>documenting</w:t>
      </w:r>
      <w:proofErr w:type="gramEnd"/>
      <w:r w:rsidRPr="00694452">
        <w:rPr>
          <w:highlight w:val="yellow"/>
        </w:rPr>
        <w:t xml:space="preserve"> and managing conflicts of interest (COI), e.g., standing agenda item at meetings, COI register, removal of member from relevant decision-making.</w:t>
      </w:r>
    </w:p>
    <w:p w14:paraId="4141AC75" w14:textId="77777777" w:rsidR="00306C16" w:rsidRPr="00694452" w:rsidRDefault="00306C16" w:rsidP="003A0B4A">
      <w:pPr>
        <w:pStyle w:val="ListParagraph"/>
        <w:numPr>
          <w:ilvl w:val="1"/>
          <w:numId w:val="17"/>
        </w:numPr>
        <w:ind w:left="993"/>
      </w:pPr>
      <w:r w:rsidRPr="00694452">
        <w:rPr>
          <w:highlight w:val="yellow"/>
        </w:rPr>
        <w:t>I</w:t>
      </w:r>
      <w:r w:rsidR="00D60852" w:rsidRPr="00694452">
        <w:rPr>
          <w:highlight w:val="yellow"/>
        </w:rPr>
        <w:t>nternal reporting (e.g., monthly operational/service/team and financial reports)</w:t>
      </w:r>
      <w:r w:rsidRPr="00694452">
        <w:rPr>
          <w:highlight w:val="yellow"/>
        </w:rPr>
        <w:t>.</w:t>
      </w:r>
    </w:p>
    <w:p w14:paraId="2C3014A7" w14:textId="77777777" w:rsidR="00306C16" w:rsidRPr="00694452" w:rsidRDefault="00306C16" w:rsidP="003A0B4A">
      <w:pPr>
        <w:pStyle w:val="ListParagraph"/>
        <w:numPr>
          <w:ilvl w:val="1"/>
          <w:numId w:val="17"/>
        </w:numPr>
        <w:ind w:left="993"/>
      </w:pPr>
      <w:r w:rsidRPr="00694452">
        <w:rPr>
          <w:highlight w:val="yellow"/>
        </w:rPr>
        <w:t>R</w:t>
      </w:r>
      <w:r w:rsidR="00B42676" w:rsidRPr="00694452">
        <w:rPr>
          <w:highlight w:val="yellow"/>
        </w:rPr>
        <w:t>isk management framework</w:t>
      </w:r>
      <w:r w:rsidRPr="00694452">
        <w:rPr>
          <w:highlight w:val="yellow"/>
        </w:rPr>
        <w:t>.</w:t>
      </w:r>
    </w:p>
    <w:p w14:paraId="3E2E6FCE" w14:textId="77777777" w:rsidR="00306C16" w:rsidRPr="00694452" w:rsidRDefault="00306C16" w:rsidP="003A0B4A">
      <w:pPr>
        <w:pStyle w:val="ListParagraph"/>
        <w:numPr>
          <w:ilvl w:val="1"/>
          <w:numId w:val="17"/>
        </w:numPr>
        <w:ind w:left="993"/>
      </w:pPr>
      <w:r w:rsidRPr="00694452">
        <w:rPr>
          <w:highlight w:val="yellow"/>
        </w:rPr>
        <w:t>M</w:t>
      </w:r>
      <w:r w:rsidR="00B42676" w:rsidRPr="00694452">
        <w:rPr>
          <w:highlight w:val="yellow"/>
        </w:rPr>
        <w:t xml:space="preserve">ethods for </w:t>
      </w:r>
      <w:r w:rsidR="00D60852" w:rsidRPr="00694452">
        <w:rPr>
          <w:highlight w:val="yellow"/>
        </w:rPr>
        <w:t>raising of human resources matters</w:t>
      </w:r>
      <w:r w:rsidRPr="00694452">
        <w:rPr>
          <w:highlight w:val="yellow"/>
        </w:rPr>
        <w:t xml:space="preserve"> with the governance body and having these addressed.</w:t>
      </w:r>
    </w:p>
    <w:p w14:paraId="7F5D5D4C" w14:textId="1683FC51" w:rsidR="00D60852" w:rsidRPr="00694452" w:rsidRDefault="00306C16" w:rsidP="003A0B4A">
      <w:pPr>
        <w:pStyle w:val="ListParagraph"/>
        <w:numPr>
          <w:ilvl w:val="1"/>
          <w:numId w:val="17"/>
        </w:numPr>
        <w:ind w:left="993"/>
      </w:pPr>
      <w:r w:rsidRPr="00694452">
        <w:rPr>
          <w:highlight w:val="yellow"/>
        </w:rPr>
        <w:lastRenderedPageBreak/>
        <w:t>I</w:t>
      </w:r>
      <w:r w:rsidR="00A0376C" w:rsidRPr="00694452">
        <w:rPr>
          <w:highlight w:val="yellow"/>
        </w:rPr>
        <w:t>ntegration of human rights/other rights into decision making</w:t>
      </w:r>
      <w:r w:rsidR="00D60852" w:rsidRPr="00694452">
        <w:rPr>
          <w:highlight w:val="yellow"/>
        </w:rPr>
        <w:t>.</w:t>
      </w:r>
    </w:p>
    <w:p w14:paraId="60ACD2BE" w14:textId="666F74DE" w:rsidR="00F16481" w:rsidRPr="001232F4" w:rsidRDefault="00C8411C" w:rsidP="003A0B4A">
      <w:pPr>
        <w:pStyle w:val="ListParagraph"/>
        <w:numPr>
          <w:ilvl w:val="1"/>
          <w:numId w:val="5"/>
        </w:numPr>
        <w:ind w:left="993"/>
        <w:rPr>
          <w:i/>
          <w:iCs/>
        </w:rPr>
      </w:pPr>
      <w:r w:rsidRPr="00694452">
        <w:rPr>
          <w:highlight w:val="yellow"/>
        </w:rPr>
        <w:t>Complying with relevant legislation and organisational policies and procedures in relation to</w:t>
      </w:r>
      <w:r w:rsidR="001232F4" w:rsidRPr="00694452">
        <w:rPr>
          <w:highlight w:val="yellow"/>
        </w:rPr>
        <w:t xml:space="preserve"> service types identified in the </w:t>
      </w:r>
      <w:r w:rsidR="00F16481" w:rsidRPr="00694452">
        <w:rPr>
          <w:i/>
          <w:iCs/>
          <w:highlight w:val="yellow"/>
        </w:rPr>
        <w:t>Relevant Legislation and Standards</w:t>
      </w:r>
      <w:r w:rsidR="00F16481" w:rsidRPr="00694452">
        <w:rPr>
          <w:highlight w:val="yellow"/>
        </w:rPr>
        <w:t xml:space="preserve"> table</w:t>
      </w:r>
      <w:r w:rsidR="001232F4" w:rsidRPr="00694452">
        <w:rPr>
          <w:highlight w:val="yellow"/>
        </w:rPr>
        <w:t xml:space="preserve"> and detailed below</w:t>
      </w:r>
      <w:r w:rsidR="00F16481" w:rsidRPr="00694452">
        <w:rPr>
          <w:highlight w:val="yellow"/>
        </w:rPr>
        <w:t>.</w:t>
      </w:r>
    </w:p>
    <w:p w14:paraId="5C519C01" w14:textId="77777777" w:rsidR="006359E5" w:rsidRDefault="00B86405" w:rsidP="003A0B4A">
      <w:pPr>
        <w:pStyle w:val="Bulletlist"/>
      </w:pPr>
      <w:r w:rsidRPr="006359E5">
        <w:rPr>
          <w:rFonts w:eastAsiaTheme="minorEastAsia"/>
        </w:rPr>
        <w:t>Conducting</w:t>
      </w:r>
      <w:r>
        <w:t xml:space="preserve"> an annual general meeting outline requirements as per relevant legislation (</w:t>
      </w:r>
      <w:r>
        <w:rPr>
          <w:i/>
          <w:iCs/>
        </w:rPr>
        <w:t xml:space="preserve">Incorporated Association Act, </w:t>
      </w:r>
      <w:r>
        <w:t xml:space="preserve">etc.) and </w:t>
      </w:r>
      <w:r w:rsidR="00E96304" w:rsidRPr="00B86405">
        <w:rPr>
          <w:highlight w:val="yellow"/>
        </w:rPr>
        <w:t>rules/constitution/deed</w:t>
      </w:r>
      <w:r>
        <w:t>.</w:t>
      </w:r>
    </w:p>
    <w:p w14:paraId="73F10A24" w14:textId="09710346" w:rsidR="0022039C" w:rsidRPr="00882B77" w:rsidRDefault="006359E5" w:rsidP="003A0B4A">
      <w:pPr>
        <w:pStyle w:val="Bulletlist"/>
      </w:pPr>
      <w:r>
        <w:t>Th</w:t>
      </w:r>
      <w:r w:rsidR="0022039C" w:rsidRPr="00444FE7">
        <w:t>e or</w:t>
      </w:r>
      <w:r w:rsidR="0022039C" w:rsidRPr="00882B77">
        <w:t xml:space="preserve">ganisation holds and maintains appropriate types and levels of insurance: </w:t>
      </w:r>
    </w:p>
    <w:p w14:paraId="011EFD2B" w14:textId="42E02F04" w:rsidR="0022039C" w:rsidRPr="00882B77" w:rsidRDefault="006B0C09" w:rsidP="003A0B4A">
      <w:pPr>
        <w:pStyle w:val="ListParagraph"/>
        <w:numPr>
          <w:ilvl w:val="1"/>
          <w:numId w:val="6"/>
        </w:numPr>
        <w:ind w:left="993"/>
      </w:pPr>
      <w:r w:rsidRPr="00882B77">
        <w:rPr>
          <w:highlight w:val="green"/>
        </w:rPr>
        <w:t>List insurances held.</w:t>
      </w:r>
    </w:p>
    <w:p w14:paraId="01BF5433" w14:textId="552B7647" w:rsidR="006B0C09" w:rsidRPr="006359E5" w:rsidRDefault="006B0C09" w:rsidP="003A0B4A">
      <w:pPr>
        <w:pStyle w:val="ListParagraph"/>
        <w:numPr>
          <w:ilvl w:val="1"/>
          <w:numId w:val="6"/>
        </w:numPr>
        <w:ind w:left="993"/>
      </w:pPr>
      <w:r w:rsidRPr="006359E5">
        <w:rPr>
          <w:highlight w:val="green"/>
        </w:rPr>
        <w:t>Identify role responsible for maintaining appropriate insurance coverage.</w:t>
      </w:r>
    </w:p>
    <w:p w14:paraId="08F0384A" w14:textId="6A6831AC" w:rsidR="00F13ADF" w:rsidRPr="00444FE7" w:rsidRDefault="00F13ADF" w:rsidP="003A0B4A">
      <w:pPr>
        <w:pStyle w:val="Bulletlist"/>
      </w:pPr>
      <w:r w:rsidRPr="00444FE7">
        <w:t xml:space="preserve">We have robust processes in place to support accountability and transparency in our </w:t>
      </w:r>
      <w:r>
        <w:t xml:space="preserve">workplace management, </w:t>
      </w:r>
      <w:r w:rsidRPr="00444FE7">
        <w:t xml:space="preserve">human </w:t>
      </w:r>
      <w:proofErr w:type="gramStart"/>
      <w:r w:rsidRPr="00444FE7">
        <w:t>resources</w:t>
      </w:r>
      <w:proofErr w:type="gramEnd"/>
      <w:r w:rsidRPr="00444FE7">
        <w:t xml:space="preserve"> and client services</w:t>
      </w:r>
      <w:r>
        <w:t>, including</w:t>
      </w:r>
      <w:r w:rsidRPr="00444FE7">
        <w:t>:</w:t>
      </w:r>
    </w:p>
    <w:p w14:paraId="1CE3184A" w14:textId="4D5DDB41" w:rsidR="0022039C" w:rsidRPr="006359E5" w:rsidRDefault="00F54B60" w:rsidP="003A0B4A">
      <w:pPr>
        <w:pStyle w:val="ListParagraph"/>
        <w:numPr>
          <w:ilvl w:val="1"/>
          <w:numId w:val="6"/>
        </w:numPr>
        <w:ind w:left="993"/>
      </w:pPr>
      <w:r w:rsidRPr="006359E5">
        <w:rPr>
          <w:highlight w:val="green"/>
        </w:rPr>
        <w:t>Outline methods for maintaining currency of knowledge of an</w:t>
      </w:r>
      <w:r w:rsidR="001B33EA" w:rsidRPr="006359E5">
        <w:rPr>
          <w:highlight w:val="green"/>
        </w:rPr>
        <w:t xml:space="preserve">d </w:t>
      </w:r>
      <w:r w:rsidRPr="006359E5">
        <w:rPr>
          <w:highlight w:val="green"/>
        </w:rPr>
        <w:t>compliance with relevant laws/regulations, e.g., work health and safety, anti-</w:t>
      </w:r>
      <w:proofErr w:type="gramStart"/>
      <w:r w:rsidRPr="006359E5">
        <w:rPr>
          <w:highlight w:val="green"/>
        </w:rPr>
        <w:t>discrimination</w:t>
      </w:r>
      <w:proofErr w:type="gramEnd"/>
      <w:r w:rsidRPr="006359E5">
        <w:rPr>
          <w:highlight w:val="green"/>
        </w:rPr>
        <w:t xml:space="preserve"> and equal employment</w:t>
      </w:r>
      <w:r w:rsidR="001B33EA" w:rsidRPr="006359E5">
        <w:rPr>
          <w:highlight w:val="green"/>
        </w:rPr>
        <w:t xml:space="preserve"> provisions.</w:t>
      </w:r>
    </w:p>
    <w:p w14:paraId="567EE1D9" w14:textId="6E0E644D" w:rsidR="0022039C" w:rsidRPr="006359E5" w:rsidRDefault="0022039C" w:rsidP="003A0B4A">
      <w:pPr>
        <w:pStyle w:val="Bulletlist"/>
      </w:pPr>
      <w:r w:rsidRPr="006359E5">
        <w:rPr>
          <w:rFonts w:eastAsiaTheme="minorEastAsia"/>
        </w:rPr>
        <w:t>We</w:t>
      </w:r>
      <w:r w:rsidRPr="006359E5">
        <w:t xml:space="preserve"> monitor our compliance and requirements through </w:t>
      </w:r>
      <w:r w:rsidR="00F13ADF" w:rsidRPr="006359E5">
        <w:t xml:space="preserve">internal and </w:t>
      </w:r>
      <w:r w:rsidRPr="006359E5">
        <w:t>external audits</w:t>
      </w:r>
      <w:r w:rsidR="00F13ADF" w:rsidRPr="006359E5">
        <w:t>, including</w:t>
      </w:r>
      <w:r w:rsidRPr="006359E5">
        <w:t>:</w:t>
      </w:r>
    </w:p>
    <w:p w14:paraId="5CAB3871" w14:textId="07A17C65" w:rsidR="0022039C" w:rsidRPr="006359E5" w:rsidRDefault="00306C16" w:rsidP="003A0B4A">
      <w:pPr>
        <w:pStyle w:val="ListParagraph"/>
        <w:numPr>
          <w:ilvl w:val="1"/>
          <w:numId w:val="6"/>
        </w:numPr>
        <w:ind w:left="993"/>
      </w:pPr>
      <w:r w:rsidRPr="006359E5">
        <w:rPr>
          <w:highlight w:val="green"/>
        </w:rPr>
        <w:t>List regular audits undertaken, e.g. HSQF, NDIS, financial, internal</w:t>
      </w:r>
      <w:r w:rsidR="004A1D54" w:rsidRPr="006359E5">
        <w:rPr>
          <w:highlight w:val="green"/>
        </w:rPr>
        <w:t>/contracted for internal purposes.</w:t>
      </w:r>
    </w:p>
    <w:p w14:paraId="2FA1357F" w14:textId="4C73BB3C" w:rsidR="0022039C" w:rsidRPr="00444FE7" w:rsidRDefault="004A1D54" w:rsidP="00B06984">
      <w:pPr>
        <w:pStyle w:val="Bulletlist"/>
      </w:pPr>
      <w:r>
        <w:t>W</w:t>
      </w:r>
      <w:r w:rsidR="0022039C" w:rsidRPr="00444FE7">
        <w:t xml:space="preserve">e </w:t>
      </w:r>
      <w:r w:rsidR="0022039C" w:rsidRPr="006359E5">
        <w:rPr>
          <w:rFonts w:eastAsiaTheme="minorEastAsia"/>
        </w:rPr>
        <w:t>comply</w:t>
      </w:r>
      <w:r w:rsidR="0022039C" w:rsidRPr="00444FE7">
        <w:t xml:space="preserve"> with contemporary </w:t>
      </w:r>
      <w:r>
        <w:t>practice standards/guidelines</w:t>
      </w:r>
      <w:r w:rsidR="00B86405">
        <w:t xml:space="preserve"> </w:t>
      </w:r>
      <w:r w:rsidR="00B86405" w:rsidRPr="00B86405">
        <w:rPr>
          <w:highlight w:val="yellow"/>
        </w:rPr>
        <w:t>(remove</w:t>
      </w:r>
      <w:r w:rsidR="00983E4F">
        <w:rPr>
          <w:highlight w:val="yellow"/>
        </w:rPr>
        <w:t xml:space="preserve"> this point</w:t>
      </w:r>
      <w:r w:rsidR="00B86405" w:rsidRPr="00B86405">
        <w:rPr>
          <w:highlight w:val="yellow"/>
        </w:rPr>
        <w:t xml:space="preserve"> if irrelevant)</w:t>
      </w:r>
      <w:r w:rsidR="0022039C" w:rsidRPr="00444FE7">
        <w:t>:</w:t>
      </w:r>
    </w:p>
    <w:p w14:paraId="3842756D" w14:textId="38A34829" w:rsidR="00D638B5" w:rsidRPr="005836AF" w:rsidRDefault="004A1D54" w:rsidP="003A0B4A">
      <w:pPr>
        <w:pStyle w:val="ListParagraph"/>
        <w:numPr>
          <w:ilvl w:val="1"/>
          <w:numId w:val="6"/>
        </w:numPr>
        <w:ind w:left="993"/>
      </w:pPr>
      <w:r w:rsidRPr="00B86405">
        <w:rPr>
          <w:highlight w:val="green"/>
        </w:rPr>
        <w:t>List relevant p</w:t>
      </w:r>
      <w:r w:rsidR="0022039C" w:rsidRPr="00B86405">
        <w:rPr>
          <w:highlight w:val="green"/>
        </w:rPr>
        <w:t>ractice frameworks.</w:t>
      </w:r>
    </w:p>
    <w:p w14:paraId="245F73D3" w14:textId="7F9C4D5B" w:rsidR="0022039C" w:rsidRDefault="0022039C" w:rsidP="002A012A">
      <w:pPr>
        <w:pStyle w:val="Heading3"/>
      </w:pPr>
      <w:r w:rsidRPr="00700CA9">
        <w:t>Child Protection Placement, Child Protection</w:t>
      </w:r>
      <w:r w:rsidR="002A012A">
        <w:t xml:space="preserve"> </w:t>
      </w:r>
      <w:r w:rsidRPr="00700CA9">
        <w:t>Support and</w:t>
      </w:r>
      <w:r w:rsidR="002A012A">
        <w:t>/or</w:t>
      </w:r>
      <w:r w:rsidRPr="00700CA9">
        <w:t xml:space="preserve"> </w:t>
      </w:r>
      <w:proofErr w:type="spellStart"/>
      <w:r w:rsidR="00983E4F">
        <w:t>Familiy</w:t>
      </w:r>
      <w:proofErr w:type="spellEnd"/>
      <w:r w:rsidR="00983E4F">
        <w:t xml:space="preserve"> Services</w:t>
      </w:r>
    </w:p>
    <w:p w14:paraId="731CB144" w14:textId="4BC6706F" w:rsidR="00E96304" w:rsidRPr="00E96304" w:rsidRDefault="00E96304" w:rsidP="00E96304">
      <w:r w:rsidRPr="00D87DF9">
        <w:rPr>
          <w:highlight w:val="yellow"/>
        </w:rPr>
        <w:t>Remove</w:t>
      </w:r>
      <w:r w:rsidR="002F15BD" w:rsidRPr="00D87DF9">
        <w:rPr>
          <w:highlight w:val="yellow"/>
        </w:rPr>
        <w:t xml:space="preserve"> section</w:t>
      </w:r>
      <w:r w:rsidRPr="00D87DF9">
        <w:rPr>
          <w:highlight w:val="yellow"/>
        </w:rPr>
        <w:t xml:space="preserve"> if service type</w:t>
      </w:r>
      <w:r w:rsidR="002F15BD" w:rsidRPr="00D87DF9">
        <w:rPr>
          <w:highlight w:val="yellow"/>
        </w:rPr>
        <w:t xml:space="preserve"> is irrelevant</w:t>
      </w:r>
      <w:r w:rsidR="00D87DF9" w:rsidRPr="00D87DF9">
        <w:rPr>
          <w:highlight w:val="yellow"/>
        </w:rPr>
        <w:t>.</w:t>
      </w:r>
    </w:p>
    <w:p w14:paraId="64633F4F" w14:textId="6E74A198" w:rsidR="0022039C" w:rsidRPr="002F15BD" w:rsidRDefault="002F15BD" w:rsidP="00983E4F">
      <w:r>
        <w:t>Specific g</w:t>
      </w:r>
      <w:r w:rsidR="0022039C" w:rsidRPr="002F15BD">
        <w:t xml:space="preserve">overnance processes </w:t>
      </w:r>
      <w:r>
        <w:t xml:space="preserve">to meet our legal, </w:t>
      </w:r>
      <w:proofErr w:type="gramStart"/>
      <w:r>
        <w:t>regulatory</w:t>
      </w:r>
      <w:proofErr w:type="gramEnd"/>
      <w:r>
        <w:t xml:space="preserve"> and professional responsibilities in this area are:</w:t>
      </w:r>
    </w:p>
    <w:p w14:paraId="1309320C" w14:textId="77777777" w:rsidR="00F3582B" w:rsidRDefault="00F3582B" w:rsidP="00CC1D39">
      <w:pPr>
        <w:pStyle w:val="Bulletlist"/>
      </w:pPr>
      <w:r w:rsidRPr="00D87DF9">
        <w:rPr>
          <w:highlight w:val="green"/>
        </w:rPr>
        <w:t xml:space="preserve">Identify any </w:t>
      </w:r>
      <w:r w:rsidR="0022039C" w:rsidRPr="00D87DF9">
        <w:rPr>
          <w:highlight w:val="green"/>
        </w:rPr>
        <w:t xml:space="preserve">licensing requirements </w:t>
      </w:r>
      <w:r w:rsidRPr="00D87DF9">
        <w:rPr>
          <w:highlight w:val="green"/>
        </w:rPr>
        <w:t>and describe process for adhering to these.</w:t>
      </w:r>
    </w:p>
    <w:p w14:paraId="4E80B781" w14:textId="3F7A4D8C" w:rsidR="0022039C" w:rsidRDefault="00F3582B" w:rsidP="00CC1D39">
      <w:pPr>
        <w:pStyle w:val="Bulletlist"/>
      </w:pPr>
      <w:r w:rsidRPr="00D87DF9">
        <w:rPr>
          <w:highlight w:val="green"/>
        </w:rPr>
        <w:t xml:space="preserve">Outline processes for acting in accordance with </w:t>
      </w:r>
      <w:r w:rsidR="0022039C" w:rsidRPr="00D87DF9">
        <w:rPr>
          <w:highlight w:val="green"/>
        </w:rPr>
        <w:t>Individualised Placement and Support Agreement (IPSA's)</w:t>
      </w:r>
      <w:r w:rsidR="00697556" w:rsidRPr="00D87DF9">
        <w:rPr>
          <w:highlight w:val="green"/>
        </w:rPr>
        <w:t xml:space="preserve">, </w:t>
      </w:r>
      <w:r w:rsidR="00D87DF9" w:rsidRPr="00D87DF9">
        <w:rPr>
          <w:highlight w:val="green"/>
        </w:rPr>
        <w:t xml:space="preserve">Investment Specification, </w:t>
      </w:r>
      <w:r w:rsidRPr="00D87DF9">
        <w:rPr>
          <w:highlight w:val="green"/>
        </w:rPr>
        <w:t>Service Agreement</w:t>
      </w:r>
      <w:r w:rsidR="00D87DF9" w:rsidRPr="00D87DF9">
        <w:rPr>
          <w:highlight w:val="green"/>
        </w:rPr>
        <w:t>(</w:t>
      </w:r>
      <w:r w:rsidRPr="00D87DF9">
        <w:rPr>
          <w:highlight w:val="green"/>
        </w:rPr>
        <w:t>s</w:t>
      </w:r>
      <w:r w:rsidR="00D87DF9" w:rsidRPr="00D87DF9">
        <w:rPr>
          <w:highlight w:val="green"/>
        </w:rPr>
        <w:t xml:space="preserve">), </w:t>
      </w:r>
      <w:r w:rsidR="00D87DF9" w:rsidRPr="00766C63">
        <w:rPr>
          <w:highlight w:val="green"/>
        </w:rPr>
        <w:t>etc</w:t>
      </w:r>
      <w:r w:rsidR="00766C63" w:rsidRPr="00766C63">
        <w:rPr>
          <w:highlight w:val="green"/>
        </w:rPr>
        <w:t xml:space="preserve">.; </w:t>
      </w:r>
      <w:r w:rsidR="00766C63" w:rsidRPr="00766C63">
        <w:rPr>
          <w:iCs/>
          <w:highlight w:val="green"/>
        </w:rPr>
        <w:t xml:space="preserve">where these also meet other relevant requirements (see below), </w:t>
      </w:r>
      <w:proofErr w:type="gramStart"/>
      <w:r w:rsidR="00766C63" w:rsidRPr="00766C63">
        <w:rPr>
          <w:iCs/>
          <w:highlight w:val="green"/>
        </w:rPr>
        <w:t>make reference</w:t>
      </w:r>
      <w:proofErr w:type="gramEnd"/>
      <w:r w:rsidR="00766C63" w:rsidRPr="00766C63">
        <w:rPr>
          <w:iCs/>
          <w:highlight w:val="green"/>
        </w:rPr>
        <w:t xml:space="preserve"> to the other requirements being met</w:t>
      </w:r>
      <w:r w:rsidR="00766C63" w:rsidRPr="00D10788">
        <w:rPr>
          <w:i/>
          <w:highlight w:val="green"/>
        </w:rPr>
        <w:t>.</w:t>
      </w:r>
    </w:p>
    <w:p w14:paraId="380EEF51" w14:textId="002317DD" w:rsidR="00D87DF9" w:rsidRDefault="00ED4BA7" w:rsidP="00CC1D39">
      <w:pPr>
        <w:pStyle w:val="Bulletlist"/>
      </w:pPr>
      <w:r w:rsidRPr="00D87DF9">
        <w:rPr>
          <w:highlight w:val="green"/>
        </w:rPr>
        <w:t xml:space="preserve">List ways in which </w:t>
      </w:r>
      <w:r w:rsidR="0022039C" w:rsidRPr="00D87DF9">
        <w:rPr>
          <w:highlight w:val="green"/>
        </w:rPr>
        <w:t>organisation</w:t>
      </w:r>
      <w:r w:rsidRPr="00D87DF9">
        <w:rPr>
          <w:highlight w:val="green"/>
        </w:rPr>
        <w:t>al</w:t>
      </w:r>
      <w:r w:rsidR="0022039C" w:rsidRPr="00D87DF9">
        <w:rPr>
          <w:highlight w:val="green"/>
        </w:rPr>
        <w:t xml:space="preserve"> structure, purpose, strateg</w:t>
      </w:r>
      <w:r w:rsidRPr="00D87DF9">
        <w:rPr>
          <w:highlight w:val="green"/>
        </w:rPr>
        <w:t>y and operations</w:t>
      </w:r>
      <w:r w:rsidR="0022039C" w:rsidRPr="00D87DF9">
        <w:rPr>
          <w:highlight w:val="green"/>
        </w:rPr>
        <w:t xml:space="preserve"> </w:t>
      </w:r>
      <w:r w:rsidRPr="00D87DF9">
        <w:rPr>
          <w:highlight w:val="green"/>
        </w:rPr>
        <w:t xml:space="preserve">align </w:t>
      </w:r>
      <w:r w:rsidR="0022039C" w:rsidRPr="00D87DF9">
        <w:rPr>
          <w:highlight w:val="green"/>
        </w:rPr>
        <w:t xml:space="preserve">with and support </w:t>
      </w:r>
      <w:r w:rsidR="00D87DF9" w:rsidRPr="00D87DF9">
        <w:rPr>
          <w:highlight w:val="green"/>
        </w:rPr>
        <w:t xml:space="preserve">the Aboriginal and Torres Strait Islander Child Placement </w:t>
      </w:r>
      <w:proofErr w:type="gramStart"/>
      <w:r w:rsidR="00D87DF9" w:rsidRPr="00D87DF9">
        <w:rPr>
          <w:highlight w:val="green"/>
        </w:rPr>
        <w:t>Principle</w:t>
      </w:r>
      <w:proofErr w:type="gramEnd"/>
      <w:r w:rsidR="00D87DF9" w:rsidRPr="00D87DF9">
        <w:rPr>
          <w:highlight w:val="green"/>
        </w:rPr>
        <w:t xml:space="preserve"> Policy Statement.</w:t>
      </w:r>
    </w:p>
    <w:p w14:paraId="3B0CA8BB" w14:textId="17C8F4D3" w:rsidR="0022039C" w:rsidRPr="002F15BD" w:rsidRDefault="00D87DF9" w:rsidP="00CC1D39">
      <w:pPr>
        <w:pStyle w:val="Bulletlist"/>
      </w:pPr>
      <w:r w:rsidRPr="00D87DF9">
        <w:rPr>
          <w:highlight w:val="green"/>
        </w:rPr>
        <w:t>Identify strategies for managing operations in accordance with the Child Safety Practice Manual</w:t>
      </w:r>
      <w:r w:rsidR="00697556" w:rsidRPr="00D87DF9">
        <w:rPr>
          <w:highlight w:val="green"/>
        </w:rPr>
        <w:t>.</w:t>
      </w:r>
    </w:p>
    <w:p w14:paraId="4372E21D" w14:textId="26FC1D2D" w:rsidR="006542A8" w:rsidRPr="00700CA9" w:rsidRDefault="006542A8" w:rsidP="009846A6">
      <w:pPr>
        <w:pStyle w:val="Heading3"/>
      </w:pPr>
      <w:r w:rsidRPr="00700CA9">
        <w:t>Domestic and Family Violence</w:t>
      </w:r>
    </w:p>
    <w:p w14:paraId="036F4986" w14:textId="77777777" w:rsidR="0061000C" w:rsidRPr="00E96304" w:rsidRDefault="0061000C" w:rsidP="0061000C">
      <w:r w:rsidRPr="00D87DF9">
        <w:rPr>
          <w:highlight w:val="yellow"/>
        </w:rPr>
        <w:t>Remove section if service type is irrelevant.</w:t>
      </w:r>
    </w:p>
    <w:p w14:paraId="36A61C8E" w14:textId="77777777" w:rsidR="00D551FF" w:rsidRPr="002F15BD" w:rsidRDefault="00D551FF" w:rsidP="00D551FF">
      <w:r>
        <w:t>Specific g</w:t>
      </w:r>
      <w:r w:rsidRPr="002F15BD">
        <w:t xml:space="preserve">overnance processes </w:t>
      </w:r>
      <w:r>
        <w:t xml:space="preserve">to meet our legal, </w:t>
      </w:r>
      <w:proofErr w:type="gramStart"/>
      <w:r>
        <w:t>regulatory</w:t>
      </w:r>
      <w:proofErr w:type="gramEnd"/>
      <w:r>
        <w:t xml:space="preserve"> and professional responsibilities in this area are:</w:t>
      </w:r>
    </w:p>
    <w:p w14:paraId="1F2B025E" w14:textId="074B6930" w:rsidR="00E27A92" w:rsidRPr="00E27A92" w:rsidRDefault="00CB7AFC" w:rsidP="00CC1D39">
      <w:pPr>
        <w:pStyle w:val="Bulletlist"/>
      </w:pPr>
      <w:r w:rsidRPr="00D10788">
        <w:rPr>
          <w:highlight w:val="green"/>
        </w:rPr>
        <w:t>Briefly describe your processes for governance relevant to the purpose and standards</w:t>
      </w:r>
      <w:r w:rsidR="00D10788" w:rsidRPr="00D10788">
        <w:rPr>
          <w:highlight w:val="green"/>
        </w:rPr>
        <w:t xml:space="preserve"> of the </w:t>
      </w:r>
      <w:r w:rsidR="006542A8" w:rsidRPr="00D10788">
        <w:rPr>
          <w:highlight w:val="green"/>
        </w:rPr>
        <w:t>Domestic and Family Violence Services</w:t>
      </w:r>
      <w:r w:rsidR="00D10788" w:rsidRPr="00D10788">
        <w:rPr>
          <w:highlight w:val="green"/>
        </w:rPr>
        <w:t>:</w:t>
      </w:r>
      <w:r w:rsidR="006542A8" w:rsidRPr="00D10788">
        <w:rPr>
          <w:highlight w:val="green"/>
        </w:rPr>
        <w:t xml:space="preserve"> Practice, Principles, Standards and </w:t>
      </w:r>
      <w:r w:rsidR="00D10788" w:rsidRPr="00D10788">
        <w:rPr>
          <w:highlight w:val="green"/>
        </w:rPr>
        <w:t>G</w:t>
      </w:r>
      <w:r w:rsidR="006542A8" w:rsidRPr="00D10788">
        <w:rPr>
          <w:highlight w:val="green"/>
        </w:rPr>
        <w:t>uidance</w:t>
      </w:r>
      <w:r w:rsidR="00DC31C3">
        <w:rPr>
          <w:highlight w:val="green"/>
        </w:rPr>
        <w:t xml:space="preserve">; where these also meet other relevant requirements (see below), </w:t>
      </w:r>
      <w:proofErr w:type="gramStart"/>
      <w:r w:rsidR="00DC31C3">
        <w:rPr>
          <w:highlight w:val="green"/>
        </w:rPr>
        <w:t>make reference</w:t>
      </w:r>
      <w:proofErr w:type="gramEnd"/>
      <w:r w:rsidR="00DC31C3">
        <w:rPr>
          <w:highlight w:val="green"/>
        </w:rPr>
        <w:t xml:space="preserve"> to the other requirements being met</w:t>
      </w:r>
      <w:r w:rsidR="00D10788" w:rsidRPr="00D10788">
        <w:rPr>
          <w:i/>
          <w:highlight w:val="green"/>
        </w:rPr>
        <w:t>.</w:t>
      </w:r>
    </w:p>
    <w:p w14:paraId="051DF9A6" w14:textId="479F032B" w:rsidR="00D715DB" w:rsidRPr="00700CA9" w:rsidRDefault="00D715DB" w:rsidP="00CC1D39">
      <w:pPr>
        <w:pStyle w:val="Bulletlist"/>
      </w:pPr>
      <w:r w:rsidRPr="00DC31C3">
        <w:rPr>
          <w:highlight w:val="green"/>
        </w:rPr>
        <w:t xml:space="preserve">Outline </w:t>
      </w:r>
      <w:r w:rsidR="00E27A92" w:rsidRPr="00DC31C3">
        <w:rPr>
          <w:highlight w:val="green"/>
        </w:rPr>
        <w:t xml:space="preserve">your processes for meeting governance responsibilities under the </w:t>
      </w:r>
      <w:r w:rsidRPr="00DC31C3">
        <w:rPr>
          <w:highlight w:val="green"/>
        </w:rPr>
        <w:t>Domestic and Family Violence Support Services Investment Specification</w:t>
      </w:r>
      <w:r w:rsidR="00E27A92" w:rsidRPr="00DC31C3">
        <w:rPr>
          <w:highlight w:val="green"/>
        </w:rPr>
        <w:t>, where these are not addressed above</w:t>
      </w:r>
      <w:r w:rsidR="00DC31C3" w:rsidRPr="00DC31C3">
        <w:rPr>
          <w:highlight w:val="green"/>
        </w:rPr>
        <w:t>.</w:t>
      </w:r>
    </w:p>
    <w:p w14:paraId="630655FF" w14:textId="5A1CA939" w:rsidR="00D715DB" w:rsidRPr="00D551FF" w:rsidRDefault="00D715DB" w:rsidP="00CC1D39">
      <w:pPr>
        <w:pStyle w:val="Bulletlist"/>
      </w:pPr>
      <w:r w:rsidRPr="00D10788">
        <w:rPr>
          <w:highlight w:val="green"/>
        </w:rPr>
        <w:t xml:space="preserve">Outline any </w:t>
      </w:r>
      <w:r>
        <w:rPr>
          <w:highlight w:val="green"/>
        </w:rPr>
        <w:t xml:space="preserve">specific </w:t>
      </w:r>
      <w:r w:rsidRPr="00D10788">
        <w:rPr>
          <w:highlight w:val="green"/>
        </w:rPr>
        <w:t xml:space="preserve">processes for meeting </w:t>
      </w:r>
      <w:r>
        <w:rPr>
          <w:highlight w:val="green"/>
        </w:rPr>
        <w:t xml:space="preserve">governance </w:t>
      </w:r>
      <w:r w:rsidRPr="00D10788">
        <w:rPr>
          <w:highlight w:val="green"/>
        </w:rPr>
        <w:t>responsibilities under domestic and family violence and/or child safety/protection legislation that are not addressed elsewhere in this document</w:t>
      </w:r>
      <w:r w:rsidR="00E27A92">
        <w:t>.</w:t>
      </w:r>
    </w:p>
    <w:p w14:paraId="17A2F8C4" w14:textId="77777777" w:rsidR="006542A8" w:rsidRPr="00700CA9" w:rsidRDefault="006542A8" w:rsidP="00D10788">
      <w:pPr>
        <w:pStyle w:val="Heading3"/>
      </w:pPr>
      <w:r w:rsidRPr="00700CA9">
        <w:t>Sexual Violence and Women</w:t>
      </w:r>
      <w:r>
        <w:t>’</w:t>
      </w:r>
      <w:r w:rsidRPr="00700CA9">
        <w:t>s Support</w:t>
      </w:r>
    </w:p>
    <w:p w14:paraId="622E2A01" w14:textId="77777777" w:rsidR="006542A8" w:rsidRDefault="006542A8" w:rsidP="006542A8">
      <w:pPr>
        <w:rPr>
          <w:highlight w:val="yellow"/>
        </w:rPr>
      </w:pPr>
      <w:r w:rsidRPr="00D87DF9">
        <w:rPr>
          <w:highlight w:val="yellow"/>
        </w:rPr>
        <w:t>Remove section if service type is irrelevant.</w:t>
      </w:r>
    </w:p>
    <w:p w14:paraId="382EC697" w14:textId="26BEFC6F" w:rsidR="004A068E" w:rsidRPr="004A068E" w:rsidRDefault="004A068E" w:rsidP="00CC1D39">
      <w:r>
        <w:t>Specific g</w:t>
      </w:r>
      <w:r w:rsidRPr="002F15BD">
        <w:t xml:space="preserve">overnance processes </w:t>
      </w:r>
      <w:r>
        <w:t xml:space="preserve">to meet our legal, </w:t>
      </w:r>
      <w:proofErr w:type="gramStart"/>
      <w:r>
        <w:t>regulatory</w:t>
      </w:r>
      <w:proofErr w:type="gramEnd"/>
      <w:r>
        <w:t xml:space="preserve"> and professional responsibilities in this area are:</w:t>
      </w:r>
    </w:p>
    <w:p w14:paraId="60E60FC5" w14:textId="66090BF2" w:rsidR="00A2132B" w:rsidRPr="00A2132B" w:rsidRDefault="00A2132B" w:rsidP="00CC1D39">
      <w:pPr>
        <w:pStyle w:val="Bulletlist"/>
      </w:pPr>
      <w:r w:rsidRPr="00A10055">
        <w:rPr>
          <w:highlight w:val="green"/>
        </w:rPr>
        <w:lastRenderedPageBreak/>
        <w:t>Briefly describe your processes for governance relevant to the purpose and standards of the</w:t>
      </w:r>
      <w:r w:rsidRPr="00A10055">
        <w:rPr>
          <w:iCs/>
          <w:highlight w:val="green"/>
        </w:rPr>
        <w:t xml:space="preserve"> National Association of Se</w:t>
      </w:r>
      <w:r w:rsidRPr="00A2132B">
        <w:rPr>
          <w:iCs/>
          <w:highlight w:val="green"/>
        </w:rPr>
        <w:t>rvices Against S</w:t>
      </w:r>
      <w:r w:rsidRPr="00766C63">
        <w:rPr>
          <w:iCs/>
          <w:highlight w:val="green"/>
        </w:rPr>
        <w:t>exual Violence Standards of Practice Manual for Services Against Sexual Violence</w:t>
      </w:r>
      <w:r w:rsidR="00766C63" w:rsidRPr="00766C63">
        <w:rPr>
          <w:iCs/>
          <w:highlight w:val="green"/>
        </w:rPr>
        <w:t xml:space="preserve">; where these also meet other relevant requirements (see below), </w:t>
      </w:r>
      <w:proofErr w:type="gramStart"/>
      <w:r w:rsidR="00766C63" w:rsidRPr="00766C63">
        <w:rPr>
          <w:iCs/>
          <w:highlight w:val="green"/>
        </w:rPr>
        <w:t>make reference</w:t>
      </w:r>
      <w:proofErr w:type="gramEnd"/>
      <w:r w:rsidR="00766C63" w:rsidRPr="00766C63">
        <w:rPr>
          <w:iCs/>
          <w:highlight w:val="green"/>
        </w:rPr>
        <w:t xml:space="preserve"> to the other requirements being met</w:t>
      </w:r>
      <w:r w:rsidR="00766C63" w:rsidRPr="00D10788">
        <w:rPr>
          <w:i/>
          <w:highlight w:val="green"/>
        </w:rPr>
        <w:t>.</w:t>
      </w:r>
    </w:p>
    <w:p w14:paraId="23583829" w14:textId="616608C9" w:rsidR="00766C63" w:rsidRDefault="00766C63" w:rsidP="00CC1D39">
      <w:pPr>
        <w:pStyle w:val="Bulletlist"/>
      </w:pPr>
      <w:r w:rsidRPr="00DC31C3">
        <w:rPr>
          <w:highlight w:val="green"/>
        </w:rPr>
        <w:t xml:space="preserve">Outline your processes for meeting governance responsibilities under the </w:t>
      </w:r>
      <w:r>
        <w:rPr>
          <w:highlight w:val="green"/>
        </w:rPr>
        <w:t xml:space="preserve">Sexual </w:t>
      </w:r>
      <w:r w:rsidRPr="00DC31C3">
        <w:rPr>
          <w:highlight w:val="green"/>
        </w:rPr>
        <w:t xml:space="preserve">Violence </w:t>
      </w:r>
      <w:r>
        <w:rPr>
          <w:highlight w:val="green"/>
        </w:rPr>
        <w:t xml:space="preserve">and Women’s </w:t>
      </w:r>
      <w:r w:rsidRPr="00DC31C3">
        <w:rPr>
          <w:highlight w:val="green"/>
        </w:rPr>
        <w:t>Support Services Investment Specification, where these are not addressed above.</w:t>
      </w:r>
    </w:p>
    <w:p w14:paraId="5A466406" w14:textId="597828C6" w:rsidR="0077150A" w:rsidRPr="00700CA9" w:rsidRDefault="0077150A" w:rsidP="00CC1D39">
      <w:pPr>
        <w:pStyle w:val="Bulletlist"/>
      </w:pPr>
      <w:r w:rsidRPr="00A10055">
        <w:rPr>
          <w:highlight w:val="green"/>
        </w:rPr>
        <w:t xml:space="preserve">Briefly describe your processes for governance relevant to the purpose and standards of the </w:t>
      </w:r>
      <w:r w:rsidRPr="00A10055">
        <w:rPr>
          <w:iCs/>
          <w:highlight w:val="green"/>
        </w:rPr>
        <w:t>Queensland Government Interagency Guidelines for responding to People who have Experienced Sexual Assault where these are not addressed above.</w:t>
      </w:r>
    </w:p>
    <w:p w14:paraId="04E6B6A5" w14:textId="3AEC7768" w:rsidR="00531CE2" w:rsidRPr="00531CE2" w:rsidRDefault="00212669" w:rsidP="00CC1D39">
      <w:pPr>
        <w:pStyle w:val="Bulletlist"/>
      </w:pPr>
      <w:r>
        <w:rPr>
          <w:highlight w:val="green"/>
        </w:rPr>
        <w:t xml:space="preserve">Include reference to the following in the procedures outlined above OR detail </w:t>
      </w:r>
      <w:r w:rsidR="0061000C">
        <w:rPr>
          <w:highlight w:val="green"/>
        </w:rPr>
        <w:t xml:space="preserve">specific </w:t>
      </w:r>
      <w:r w:rsidR="0061000C" w:rsidRPr="00D10788">
        <w:rPr>
          <w:highlight w:val="green"/>
        </w:rPr>
        <w:t xml:space="preserve">processes for meeting </w:t>
      </w:r>
      <w:r w:rsidR="0061000C">
        <w:rPr>
          <w:highlight w:val="green"/>
        </w:rPr>
        <w:t xml:space="preserve">governance </w:t>
      </w:r>
      <w:r w:rsidR="0061000C" w:rsidRPr="00D10788">
        <w:rPr>
          <w:highlight w:val="green"/>
        </w:rPr>
        <w:t xml:space="preserve">responsibilities </w:t>
      </w:r>
      <w:r w:rsidR="00531CE2">
        <w:rPr>
          <w:highlight w:val="green"/>
        </w:rPr>
        <w:t>including the requirement to report child sexual abuse and risks under:</w:t>
      </w:r>
    </w:p>
    <w:p w14:paraId="2389CC80" w14:textId="4935E969" w:rsidR="00531CE2" w:rsidRPr="00531CE2" w:rsidRDefault="001848C1" w:rsidP="00CC1D39">
      <w:pPr>
        <w:pStyle w:val="ListParagraph"/>
        <w:numPr>
          <w:ilvl w:val="1"/>
          <w:numId w:val="6"/>
        </w:numPr>
        <w:ind w:left="993"/>
      </w:pPr>
      <w:r w:rsidRPr="00A10055">
        <w:rPr>
          <w:highlight w:val="green"/>
        </w:rPr>
        <w:t>Good practice principles/</w:t>
      </w:r>
      <w:r w:rsidR="00654A06">
        <w:rPr>
          <w:highlight w:val="green"/>
        </w:rPr>
        <w:t>sector</w:t>
      </w:r>
      <w:r w:rsidR="00A10055">
        <w:rPr>
          <w:highlight w:val="green"/>
        </w:rPr>
        <w:t xml:space="preserve"> </w:t>
      </w:r>
      <w:r w:rsidRPr="00A10055">
        <w:rPr>
          <w:highlight w:val="green"/>
        </w:rPr>
        <w:t>standards</w:t>
      </w:r>
      <w:r w:rsidR="002B31EF">
        <w:rPr>
          <w:highlight w:val="green"/>
        </w:rPr>
        <w:t xml:space="preserve">, including in relation to screening for, identifying, internally </w:t>
      </w:r>
      <w:proofErr w:type="gramStart"/>
      <w:r w:rsidR="002B31EF">
        <w:rPr>
          <w:highlight w:val="green"/>
        </w:rPr>
        <w:t>reporting</w:t>
      </w:r>
      <w:proofErr w:type="gramEnd"/>
      <w:r w:rsidR="002B31EF">
        <w:rPr>
          <w:highlight w:val="green"/>
        </w:rPr>
        <w:t xml:space="preserve"> and externally reporting (e.g., to Child Safety or Queensland Police) </w:t>
      </w:r>
      <w:r w:rsidR="00F84E51">
        <w:rPr>
          <w:highlight w:val="green"/>
        </w:rPr>
        <w:t>relevant abuse/risks</w:t>
      </w:r>
      <w:r w:rsidRPr="00A10055">
        <w:rPr>
          <w:highlight w:val="green"/>
        </w:rPr>
        <w:t>.</w:t>
      </w:r>
    </w:p>
    <w:p w14:paraId="5D7CAC7C" w14:textId="7A54D458" w:rsidR="001848C1" w:rsidRPr="001848C1" w:rsidRDefault="001848C1" w:rsidP="00CC1D39">
      <w:pPr>
        <w:pStyle w:val="ListParagraph"/>
        <w:numPr>
          <w:ilvl w:val="1"/>
          <w:numId w:val="6"/>
        </w:numPr>
        <w:ind w:left="993"/>
      </w:pPr>
      <w:r w:rsidRPr="00A10055">
        <w:rPr>
          <w:highlight w:val="green"/>
        </w:rPr>
        <w:t>Failure to report legislation.</w:t>
      </w:r>
      <w:r w:rsidR="00654A06">
        <w:rPr>
          <w:rStyle w:val="FootnoteReference"/>
          <w:highlight w:val="green"/>
        </w:rPr>
        <w:footnoteReference w:id="6"/>
      </w:r>
    </w:p>
    <w:p w14:paraId="13689C2B" w14:textId="7A86A6C3" w:rsidR="00531CE2" w:rsidRPr="00531CE2" w:rsidRDefault="00531CE2" w:rsidP="00CC1D39">
      <w:pPr>
        <w:pStyle w:val="ListParagraph"/>
        <w:numPr>
          <w:ilvl w:val="1"/>
          <w:numId w:val="6"/>
        </w:numPr>
        <w:ind w:left="993"/>
      </w:pPr>
      <w:r>
        <w:rPr>
          <w:highlight w:val="green"/>
        </w:rPr>
        <w:t>Mandatory reporting legislation if this applies</w:t>
      </w:r>
      <w:r w:rsidR="002F40EB">
        <w:rPr>
          <w:highlight w:val="green"/>
        </w:rPr>
        <w:t>, including the roles within the organisation to which mandatory reporting requirements apply</w:t>
      </w:r>
      <w:r>
        <w:rPr>
          <w:highlight w:val="green"/>
        </w:rPr>
        <w:t>.</w:t>
      </w:r>
    </w:p>
    <w:p w14:paraId="0D4A1C79" w14:textId="3C1801B7" w:rsidR="00A10055" w:rsidRPr="00A2132B" w:rsidRDefault="001848C1" w:rsidP="00CC1D39">
      <w:pPr>
        <w:pStyle w:val="ListParagraph"/>
        <w:numPr>
          <w:ilvl w:val="1"/>
          <w:numId w:val="6"/>
        </w:numPr>
        <w:ind w:left="993"/>
      </w:pPr>
      <w:r>
        <w:rPr>
          <w:highlight w:val="green"/>
        </w:rPr>
        <w:t xml:space="preserve">Other relevant abuse-related </w:t>
      </w:r>
      <w:r w:rsidR="0061000C" w:rsidRPr="00D10788">
        <w:rPr>
          <w:highlight w:val="green"/>
        </w:rPr>
        <w:t xml:space="preserve">and/or child safety/protection </w:t>
      </w:r>
      <w:r>
        <w:rPr>
          <w:highlight w:val="green"/>
        </w:rPr>
        <w:t xml:space="preserve">responsibilities </w:t>
      </w:r>
      <w:r w:rsidR="0061000C" w:rsidRPr="00D10788">
        <w:rPr>
          <w:highlight w:val="green"/>
        </w:rPr>
        <w:t>not addressed elsewhere in this document.</w:t>
      </w:r>
    </w:p>
    <w:p w14:paraId="28112968" w14:textId="1C00A381" w:rsidR="0061000C" w:rsidRPr="0077150A" w:rsidRDefault="0077150A" w:rsidP="0077150A">
      <w:pPr>
        <w:pStyle w:val="Heading3"/>
      </w:pPr>
      <w:r>
        <w:t>Community Services</w:t>
      </w:r>
    </w:p>
    <w:p w14:paraId="50E59936" w14:textId="77777777" w:rsidR="0077150A" w:rsidRPr="00E96304" w:rsidRDefault="0077150A" w:rsidP="0077150A">
      <w:r w:rsidRPr="00D87DF9">
        <w:rPr>
          <w:highlight w:val="yellow"/>
        </w:rPr>
        <w:t>Remove section if service type is irrelevant.</w:t>
      </w:r>
    </w:p>
    <w:p w14:paraId="4CC8A005" w14:textId="77777777" w:rsidR="0077150A" w:rsidRPr="00AD02BA" w:rsidRDefault="0077150A" w:rsidP="0077150A">
      <w:r>
        <w:t xml:space="preserve">Specific </w:t>
      </w:r>
      <w:r w:rsidRPr="00AD02BA">
        <w:t xml:space="preserve">governance processes to meet our legal, </w:t>
      </w:r>
      <w:proofErr w:type="gramStart"/>
      <w:r w:rsidRPr="00AD02BA">
        <w:t>regulatory</w:t>
      </w:r>
      <w:proofErr w:type="gramEnd"/>
      <w:r w:rsidRPr="00AD02BA">
        <w:t xml:space="preserve"> and professional responsibilities in this area are:</w:t>
      </w:r>
    </w:p>
    <w:p w14:paraId="445E3575" w14:textId="2E5F014D" w:rsidR="0077150A" w:rsidRDefault="00AD02BA" w:rsidP="00CC1D39">
      <w:pPr>
        <w:pStyle w:val="Bulletlist"/>
      </w:pPr>
      <w:r w:rsidRPr="00CD0627">
        <w:rPr>
          <w:highlight w:val="green"/>
        </w:rPr>
        <w:t>Outline your processes for meeting your responsibilities under</w:t>
      </w:r>
      <w:r w:rsidR="004579D9" w:rsidRPr="00CD0627">
        <w:rPr>
          <w:highlight w:val="green"/>
        </w:rPr>
        <w:t xml:space="preserve"> the Community Services Investment Specification and Service Agreement – Funding and Service Details.</w:t>
      </w:r>
    </w:p>
    <w:p w14:paraId="5DCC74B3" w14:textId="6C667829" w:rsidR="004579D9" w:rsidRPr="00AD02BA" w:rsidRDefault="004579D9" w:rsidP="00CC1D39">
      <w:pPr>
        <w:pStyle w:val="Bulletlist"/>
      </w:pPr>
      <w:r w:rsidRPr="00CD0627">
        <w:rPr>
          <w:highlight w:val="green"/>
        </w:rPr>
        <w:t xml:space="preserve">Identify or include reference to other relevant standards/requirements </w:t>
      </w:r>
      <w:r w:rsidR="00CD0627" w:rsidRPr="00CD0627">
        <w:rPr>
          <w:highlight w:val="green"/>
        </w:rPr>
        <w:t>used to inform your governance of community services provision, including relevant legislation and guidelines relevant to the communities/groups you serve (e.g., child safety legislation)</w:t>
      </w:r>
      <w:r w:rsidR="004614EF">
        <w:rPr>
          <w:highlight w:val="green"/>
        </w:rPr>
        <w:t xml:space="preserve"> and outline how you meet them</w:t>
      </w:r>
      <w:r w:rsidR="00CD0627" w:rsidRPr="00CD0627">
        <w:rPr>
          <w:highlight w:val="green"/>
        </w:rPr>
        <w:t>.</w:t>
      </w:r>
    </w:p>
    <w:p w14:paraId="3357C6CC" w14:textId="77777777" w:rsidR="003A2FE9" w:rsidRPr="00700CA9" w:rsidRDefault="003A2FE9" w:rsidP="003A2FE9">
      <w:pPr>
        <w:pStyle w:val="Heading3"/>
      </w:pPr>
      <w:r w:rsidRPr="00700CA9">
        <w:t>Individuals</w:t>
      </w:r>
    </w:p>
    <w:p w14:paraId="49724E8F" w14:textId="77777777" w:rsidR="003A2FE9" w:rsidRDefault="003A2FE9" w:rsidP="003A2FE9">
      <w:pPr>
        <w:rPr>
          <w:highlight w:val="yellow"/>
        </w:rPr>
      </w:pPr>
      <w:r w:rsidRPr="00D87DF9">
        <w:rPr>
          <w:highlight w:val="yellow"/>
        </w:rPr>
        <w:t>Remove section if service type is irrelevant.</w:t>
      </w:r>
    </w:p>
    <w:p w14:paraId="42DB1FD4" w14:textId="5CFADFB8" w:rsidR="004A068E" w:rsidRPr="004A068E" w:rsidRDefault="004A068E" w:rsidP="003A2FE9">
      <w:r>
        <w:t>Specific g</w:t>
      </w:r>
      <w:r w:rsidRPr="002F15BD">
        <w:t xml:space="preserve">overnance processes </w:t>
      </w:r>
      <w:r>
        <w:t xml:space="preserve">to meet our legal, </w:t>
      </w:r>
      <w:proofErr w:type="gramStart"/>
      <w:r>
        <w:t>regulatory</w:t>
      </w:r>
      <w:proofErr w:type="gramEnd"/>
      <w:r>
        <w:t xml:space="preserve"> and professional responsibilities in this area are:</w:t>
      </w:r>
    </w:p>
    <w:p w14:paraId="7CD33A61" w14:textId="252AE312" w:rsidR="004A068E" w:rsidRDefault="004A068E" w:rsidP="00CC1D39">
      <w:pPr>
        <w:pStyle w:val="Bulletlist"/>
      </w:pPr>
      <w:r w:rsidRPr="00CD0627">
        <w:rPr>
          <w:highlight w:val="green"/>
        </w:rPr>
        <w:t xml:space="preserve">Outline your processes for meeting your responsibilities under the </w:t>
      </w:r>
      <w:r w:rsidR="004614EF">
        <w:rPr>
          <w:highlight w:val="green"/>
        </w:rPr>
        <w:t xml:space="preserve">relevant </w:t>
      </w:r>
      <w:r>
        <w:rPr>
          <w:highlight w:val="green"/>
        </w:rPr>
        <w:t xml:space="preserve">Individuals </w:t>
      </w:r>
      <w:r w:rsidRPr="00CD0627">
        <w:rPr>
          <w:highlight w:val="green"/>
        </w:rPr>
        <w:t>Investment Specification</w:t>
      </w:r>
      <w:r w:rsidR="00094DC1">
        <w:rPr>
          <w:highlight w:val="green"/>
        </w:rPr>
        <w:t xml:space="preserve"> </w:t>
      </w:r>
      <w:r w:rsidR="008C1495">
        <w:rPr>
          <w:highlight w:val="green"/>
        </w:rPr>
        <w:t>if relevant</w:t>
      </w:r>
      <w:r w:rsidR="004614EF">
        <w:rPr>
          <w:highlight w:val="green"/>
        </w:rPr>
        <w:t xml:space="preserve"> or Service Agreement</w:t>
      </w:r>
      <w:r w:rsidRPr="00CD0627">
        <w:rPr>
          <w:highlight w:val="green"/>
        </w:rPr>
        <w:t>.</w:t>
      </w:r>
    </w:p>
    <w:p w14:paraId="4E738B55" w14:textId="5B22347F" w:rsidR="004A068E" w:rsidRPr="00AD02BA" w:rsidRDefault="004A068E" w:rsidP="00CC1D39">
      <w:pPr>
        <w:pStyle w:val="Bulletlist"/>
      </w:pPr>
      <w:r w:rsidRPr="00CD0627">
        <w:rPr>
          <w:highlight w:val="green"/>
        </w:rPr>
        <w:t xml:space="preserve">Identify or include reference to other relevant standards/requirements used to inform your governance of community services provision, including relevant legislation and guidelines relevant to the communities/groups you serve (e.g., </w:t>
      </w:r>
      <w:r w:rsidR="00094DC1">
        <w:rPr>
          <w:highlight w:val="green"/>
        </w:rPr>
        <w:t>sexual violence support</w:t>
      </w:r>
      <w:r w:rsidR="00690EF8">
        <w:rPr>
          <w:highlight w:val="green"/>
        </w:rPr>
        <w:t xml:space="preserve">, </w:t>
      </w:r>
      <w:proofErr w:type="gramStart"/>
      <w:r w:rsidR="00690EF8">
        <w:rPr>
          <w:highlight w:val="green"/>
        </w:rPr>
        <w:t>alcohol</w:t>
      </w:r>
      <w:proofErr w:type="gramEnd"/>
      <w:r w:rsidR="00690EF8">
        <w:rPr>
          <w:highlight w:val="green"/>
        </w:rPr>
        <w:t xml:space="preserve"> and other drug support</w:t>
      </w:r>
      <w:r w:rsidRPr="00CD0627">
        <w:rPr>
          <w:highlight w:val="green"/>
        </w:rPr>
        <w:t>)</w:t>
      </w:r>
      <w:r w:rsidR="004614EF">
        <w:rPr>
          <w:highlight w:val="green"/>
        </w:rPr>
        <w:t xml:space="preserve"> and outline how you meet them</w:t>
      </w:r>
      <w:r w:rsidRPr="00CD0627">
        <w:rPr>
          <w:highlight w:val="green"/>
        </w:rPr>
        <w:t>.</w:t>
      </w:r>
    </w:p>
    <w:p w14:paraId="3F2BE90A" w14:textId="77777777" w:rsidR="007A1CFA" w:rsidRPr="00700CA9" w:rsidRDefault="007A1CFA" w:rsidP="007A1CFA">
      <w:pPr>
        <w:pStyle w:val="Heading3"/>
      </w:pPr>
      <w:r w:rsidRPr="00700CA9">
        <w:lastRenderedPageBreak/>
        <w:t>Young People</w:t>
      </w:r>
    </w:p>
    <w:p w14:paraId="12980332" w14:textId="77777777" w:rsidR="007A1CFA" w:rsidRDefault="007A1CFA" w:rsidP="007A1CFA">
      <w:pPr>
        <w:rPr>
          <w:highlight w:val="yellow"/>
        </w:rPr>
      </w:pPr>
      <w:r w:rsidRPr="00D87DF9">
        <w:rPr>
          <w:highlight w:val="yellow"/>
        </w:rPr>
        <w:t>Remove section if service type is irrelevant.</w:t>
      </w:r>
    </w:p>
    <w:p w14:paraId="66024630" w14:textId="56C875E6" w:rsidR="004614EF" w:rsidRPr="008C1CB6" w:rsidRDefault="004614EF" w:rsidP="007A1CFA">
      <w:r>
        <w:t>Specific g</w:t>
      </w:r>
      <w:r w:rsidRPr="002F15BD">
        <w:t xml:space="preserve">overnance processes </w:t>
      </w:r>
      <w:r>
        <w:t xml:space="preserve">to meet our legal, </w:t>
      </w:r>
      <w:proofErr w:type="gramStart"/>
      <w:r>
        <w:t>regulatory</w:t>
      </w:r>
      <w:proofErr w:type="gramEnd"/>
      <w:r>
        <w:t xml:space="preserve"> and professional responsibilities in this area are:</w:t>
      </w:r>
    </w:p>
    <w:p w14:paraId="0C2A3C62" w14:textId="0196D458" w:rsidR="008C1CB6" w:rsidRDefault="008C1CB6" w:rsidP="00882B77">
      <w:pPr>
        <w:pStyle w:val="Bulletlist"/>
      </w:pPr>
      <w:r w:rsidRPr="00CD0627">
        <w:rPr>
          <w:highlight w:val="green"/>
        </w:rPr>
        <w:t xml:space="preserve">Outline your processes for meeting your responsibilities under the </w:t>
      </w:r>
      <w:r>
        <w:rPr>
          <w:highlight w:val="green"/>
        </w:rPr>
        <w:t xml:space="preserve">Young People </w:t>
      </w:r>
      <w:r w:rsidRPr="00CD0627">
        <w:rPr>
          <w:highlight w:val="green"/>
        </w:rPr>
        <w:t>Investment Specification</w:t>
      </w:r>
      <w:r>
        <w:rPr>
          <w:highlight w:val="green"/>
        </w:rPr>
        <w:t xml:space="preserve"> and/or your Service Agreement</w:t>
      </w:r>
      <w:r w:rsidRPr="00CD0627">
        <w:rPr>
          <w:highlight w:val="green"/>
        </w:rPr>
        <w:t>.</w:t>
      </w:r>
    </w:p>
    <w:p w14:paraId="69D7F416" w14:textId="3B8A5A67" w:rsidR="007A1CFA" w:rsidRPr="003B42B7" w:rsidRDefault="008C1CB6" w:rsidP="00882B77">
      <w:pPr>
        <w:pStyle w:val="Bulletlist"/>
      </w:pPr>
      <w:r w:rsidRPr="00CD0627">
        <w:rPr>
          <w:highlight w:val="green"/>
        </w:rPr>
        <w:t>Identify or include reference to other relevant standards/requirements used to inform your governance of services provision</w:t>
      </w:r>
      <w:r w:rsidR="00690EF8">
        <w:rPr>
          <w:highlight w:val="green"/>
        </w:rPr>
        <w:t xml:space="preserve"> to young people</w:t>
      </w:r>
      <w:r w:rsidRPr="00CD0627">
        <w:rPr>
          <w:highlight w:val="green"/>
        </w:rPr>
        <w:t xml:space="preserve">, including relevant legislation and guidelines relevant to the communities/groups you serve (e.g., </w:t>
      </w:r>
      <w:r w:rsidR="00690EF8">
        <w:rPr>
          <w:highlight w:val="green"/>
        </w:rPr>
        <w:t xml:space="preserve">child safety requirements, </w:t>
      </w:r>
      <w:r>
        <w:rPr>
          <w:highlight w:val="green"/>
        </w:rPr>
        <w:t>sexual violence support</w:t>
      </w:r>
      <w:r w:rsidR="00690EF8">
        <w:rPr>
          <w:highlight w:val="green"/>
        </w:rPr>
        <w:t>, domestic and family violence support, mental health</w:t>
      </w:r>
      <w:r w:rsidRPr="00CD0627">
        <w:rPr>
          <w:highlight w:val="green"/>
        </w:rPr>
        <w:t>)</w:t>
      </w:r>
      <w:r>
        <w:rPr>
          <w:highlight w:val="green"/>
        </w:rPr>
        <w:t xml:space="preserve"> and outline how you meet them</w:t>
      </w:r>
      <w:r w:rsidRPr="00CD0627">
        <w:rPr>
          <w:highlight w:val="green"/>
        </w:rPr>
        <w:t>.</w:t>
      </w:r>
    </w:p>
    <w:p w14:paraId="2A113456" w14:textId="77777777" w:rsidR="00684DAB" w:rsidRPr="00D10788" w:rsidRDefault="00684DAB" w:rsidP="00684DAB">
      <w:pPr>
        <w:pStyle w:val="Heading3"/>
        <w:rPr>
          <w:highlight w:val="yellow"/>
        </w:rPr>
      </w:pPr>
      <w:r w:rsidRPr="00700CA9">
        <w:t xml:space="preserve">Disability Services  </w:t>
      </w:r>
    </w:p>
    <w:p w14:paraId="71119397" w14:textId="77777777" w:rsidR="00684DAB" w:rsidRDefault="00684DAB" w:rsidP="00684DAB">
      <w:pPr>
        <w:rPr>
          <w:highlight w:val="yellow"/>
        </w:rPr>
      </w:pPr>
      <w:r w:rsidRPr="00D87DF9">
        <w:rPr>
          <w:highlight w:val="yellow"/>
        </w:rPr>
        <w:t>Remove section if service type is irrelevant.</w:t>
      </w:r>
    </w:p>
    <w:p w14:paraId="6AFA7E9A" w14:textId="77777777" w:rsidR="00690EF8" w:rsidRPr="004A068E" w:rsidRDefault="00690EF8" w:rsidP="00690EF8">
      <w:r>
        <w:t>Specific g</w:t>
      </w:r>
      <w:r w:rsidRPr="002F15BD">
        <w:t xml:space="preserve">overnance processes </w:t>
      </w:r>
      <w:r>
        <w:t xml:space="preserve">to meet our legal, </w:t>
      </w:r>
      <w:proofErr w:type="gramStart"/>
      <w:r>
        <w:t>regulatory</w:t>
      </w:r>
      <w:proofErr w:type="gramEnd"/>
      <w:r>
        <w:t xml:space="preserve"> and professional responsibilities in this area are:</w:t>
      </w:r>
    </w:p>
    <w:p w14:paraId="777954F1" w14:textId="561DCDD2" w:rsidR="00164848" w:rsidRDefault="00164848" w:rsidP="00882B77">
      <w:pPr>
        <w:pStyle w:val="Bulletlist"/>
      </w:pPr>
      <w:r w:rsidRPr="00CD0627">
        <w:rPr>
          <w:highlight w:val="green"/>
        </w:rPr>
        <w:t xml:space="preserve">Outline your processes for meeting your responsibilities under the </w:t>
      </w:r>
      <w:r>
        <w:rPr>
          <w:highlight w:val="green"/>
        </w:rPr>
        <w:t xml:space="preserve">relevant </w:t>
      </w:r>
      <w:r w:rsidR="007D3FAD">
        <w:rPr>
          <w:highlight w:val="green"/>
        </w:rPr>
        <w:t>I</w:t>
      </w:r>
      <w:r>
        <w:rPr>
          <w:highlight w:val="green"/>
        </w:rPr>
        <w:t xml:space="preserve">nvestment </w:t>
      </w:r>
      <w:r w:rsidR="007D3FAD">
        <w:rPr>
          <w:highlight w:val="green"/>
        </w:rPr>
        <w:t>S</w:t>
      </w:r>
      <w:r>
        <w:rPr>
          <w:highlight w:val="green"/>
        </w:rPr>
        <w:t>pecification and/or Service Agreement</w:t>
      </w:r>
      <w:r w:rsidRPr="00CD0627">
        <w:rPr>
          <w:highlight w:val="green"/>
        </w:rPr>
        <w:t>.</w:t>
      </w:r>
    </w:p>
    <w:p w14:paraId="673A1B94" w14:textId="1101D0A8" w:rsidR="0068529B" w:rsidRDefault="0068529B" w:rsidP="00882B77">
      <w:pPr>
        <w:pStyle w:val="Bulletlist"/>
      </w:pPr>
      <w:r w:rsidRPr="007D3FAD">
        <w:rPr>
          <w:highlight w:val="green"/>
        </w:rPr>
        <w:t xml:space="preserve">Outline your procedure for identifying and reporting </w:t>
      </w:r>
      <w:r w:rsidR="007D3FAD" w:rsidRPr="007D3FAD">
        <w:rPr>
          <w:highlight w:val="green"/>
        </w:rPr>
        <w:t xml:space="preserve">deaths in care under the </w:t>
      </w:r>
      <w:r w:rsidR="007D3FAD" w:rsidRPr="007D3FAD">
        <w:rPr>
          <w:i/>
          <w:iCs/>
          <w:highlight w:val="green"/>
        </w:rPr>
        <w:t>Coroners Act 2003</w:t>
      </w:r>
      <w:r w:rsidR="007D3FAD" w:rsidRPr="007D3FAD">
        <w:rPr>
          <w:highlight w:val="green"/>
        </w:rPr>
        <w:t>.</w:t>
      </w:r>
    </w:p>
    <w:p w14:paraId="32672002" w14:textId="77777777" w:rsidR="007D3FAD" w:rsidRPr="00AD02BA" w:rsidRDefault="007D3FAD" w:rsidP="00882B77">
      <w:pPr>
        <w:pStyle w:val="Bulletlist"/>
      </w:pPr>
      <w:r w:rsidRPr="007D3FAD">
        <w:rPr>
          <w:highlight w:val="green"/>
        </w:rPr>
        <w:t xml:space="preserve">Briefly describe how you meet other relevant standards in accordance with the </w:t>
      </w:r>
      <w:r w:rsidRPr="007D3FAD">
        <w:rPr>
          <w:i/>
          <w:iCs/>
          <w:highlight w:val="green"/>
        </w:rPr>
        <w:t>Disability Services Act 2006</w:t>
      </w:r>
      <w:r w:rsidRPr="007D3FAD">
        <w:rPr>
          <w:highlight w:val="green"/>
        </w:rPr>
        <w:t>.</w:t>
      </w:r>
    </w:p>
    <w:p w14:paraId="04BC9ED6" w14:textId="686FD983" w:rsidR="00164848" w:rsidRDefault="00164848" w:rsidP="00882B77">
      <w:pPr>
        <w:pStyle w:val="Bulletlist"/>
      </w:pPr>
      <w:r w:rsidRPr="00CD0627">
        <w:rPr>
          <w:highlight w:val="green"/>
        </w:rPr>
        <w:t>Identify or include reference to other relevant standards/requirements used to inform your governance of services provision</w:t>
      </w:r>
      <w:r>
        <w:rPr>
          <w:highlight w:val="green"/>
        </w:rPr>
        <w:t xml:space="preserve"> to people</w:t>
      </w:r>
      <w:r w:rsidR="0068529B">
        <w:rPr>
          <w:highlight w:val="green"/>
        </w:rPr>
        <w:t xml:space="preserve"> with disabilities</w:t>
      </w:r>
      <w:r w:rsidRPr="00CD0627">
        <w:rPr>
          <w:highlight w:val="green"/>
        </w:rPr>
        <w:t xml:space="preserve">, including relevant legislation and guidelines relevant to the communities/groups you serve (e.g., </w:t>
      </w:r>
      <w:r>
        <w:rPr>
          <w:highlight w:val="green"/>
        </w:rPr>
        <w:t>child safety requirements, sexual violence support, domestic and family violence support, mental health</w:t>
      </w:r>
      <w:r w:rsidRPr="00CD0627">
        <w:rPr>
          <w:highlight w:val="green"/>
        </w:rPr>
        <w:t>)</w:t>
      </w:r>
      <w:r>
        <w:rPr>
          <w:highlight w:val="green"/>
        </w:rPr>
        <w:t xml:space="preserve"> and outline how you meet them</w:t>
      </w:r>
      <w:r w:rsidRPr="00CD0627">
        <w:rPr>
          <w:highlight w:val="green"/>
        </w:rPr>
        <w:t>.</w:t>
      </w:r>
    </w:p>
    <w:p w14:paraId="6FB1D1BE" w14:textId="05BC96C0" w:rsidR="0022039C" w:rsidRPr="00700CA9" w:rsidRDefault="0022039C" w:rsidP="006542A8">
      <w:pPr>
        <w:pStyle w:val="Heading3"/>
      </w:pPr>
      <w:r w:rsidRPr="00700CA9">
        <w:t>Mental Health</w:t>
      </w:r>
    </w:p>
    <w:p w14:paraId="13C84EA0" w14:textId="43C5196A" w:rsidR="0022039C" w:rsidRDefault="00D87DF9" w:rsidP="003D030A">
      <w:pPr>
        <w:rPr>
          <w:highlight w:val="yellow"/>
        </w:rPr>
      </w:pPr>
      <w:r w:rsidRPr="00D87DF9">
        <w:rPr>
          <w:highlight w:val="yellow"/>
        </w:rPr>
        <w:t>Remove section if service type is irrelevant.</w:t>
      </w:r>
    </w:p>
    <w:p w14:paraId="5BA00017" w14:textId="77777777" w:rsidR="00690EF8" w:rsidRPr="004A068E" w:rsidRDefault="00690EF8" w:rsidP="00690EF8">
      <w:r>
        <w:t>Specific g</w:t>
      </w:r>
      <w:r w:rsidRPr="002F15BD">
        <w:t xml:space="preserve">overnance processes </w:t>
      </w:r>
      <w:r>
        <w:t xml:space="preserve">to meet our legal, </w:t>
      </w:r>
      <w:proofErr w:type="gramStart"/>
      <w:r>
        <w:t>regulatory</w:t>
      </w:r>
      <w:proofErr w:type="gramEnd"/>
      <w:r>
        <w:t xml:space="preserve"> and professional responsibilities in this area are:</w:t>
      </w:r>
    </w:p>
    <w:p w14:paraId="28903198" w14:textId="77777777" w:rsidR="007D3FAD" w:rsidRDefault="007D3FAD" w:rsidP="00882B77">
      <w:pPr>
        <w:pStyle w:val="Bulletlist"/>
      </w:pPr>
      <w:r w:rsidRPr="00CD0627">
        <w:rPr>
          <w:highlight w:val="green"/>
        </w:rPr>
        <w:t xml:space="preserve">Outline your processes for meeting your responsibilities under the </w:t>
      </w:r>
      <w:r>
        <w:rPr>
          <w:highlight w:val="green"/>
        </w:rPr>
        <w:t>relevant investment specification and/or Service Agreement</w:t>
      </w:r>
      <w:r w:rsidRPr="00CD0627">
        <w:rPr>
          <w:highlight w:val="green"/>
        </w:rPr>
        <w:t>.</w:t>
      </w:r>
    </w:p>
    <w:p w14:paraId="3ECB5063" w14:textId="3004FB84" w:rsidR="007D3FAD" w:rsidRDefault="007D3FAD" w:rsidP="00882B77">
      <w:pPr>
        <w:pStyle w:val="Bulletlist"/>
      </w:pPr>
      <w:r>
        <w:rPr>
          <w:highlight w:val="green"/>
        </w:rPr>
        <w:t>Describe the processes in place to support recovery-oriented mental health service provision and compliance with the principles and practices in relevant guidelines, e.g., A Recovery Approach to Mental Health and Illness.</w:t>
      </w:r>
    </w:p>
    <w:p w14:paraId="0F973835" w14:textId="1B3F9E9A" w:rsidR="00EA3223" w:rsidRPr="003B42B7" w:rsidRDefault="007D3FAD" w:rsidP="00882B77">
      <w:pPr>
        <w:pStyle w:val="Bulletlist"/>
      </w:pPr>
      <w:r w:rsidRPr="00CD0627">
        <w:rPr>
          <w:highlight w:val="green"/>
        </w:rPr>
        <w:t>Identify or include reference to other relevant standards/requirements used to inform your governance of services provision</w:t>
      </w:r>
      <w:r>
        <w:rPr>
          <w:highlight w:val="green"/>
        </w:rPr>
        <w:t xml:space="preserve"> to people with disabilities</w:t>
      </w:r>
      <w:r w:rsidRPr="00CD0627">
        <w:rPr>
          <w:highlight w:val="green"/>
        </w:rPr>
        <w:t xml:space="preserve">, including relevant legislation and guidelines relevant to the communities/groups you serve (e.g., </w:t>
      </w:r>
      <w:r>
        <w:rPr>
          <w:highlight w:val="green"/>
        </w:rPr>
        <w:t xml:space="preserve">child safety requirements, sexual violence support, domestic and family violence support, </w:t>
      </w:r>
      <w:proofErr w:type="gramStart"/>
      <w:r w:rsidR="003B42B7">
        <w:rPr>
          <w:highlight w:val="green"/>
        </w:rPr>
        <w:t>alcohol</w:t>
      </w:r>
      <w:proofErr w:type="gramEnd"/>
      <w:r w:rsidR="003B42B7">
        <w:rPr>
          <w:highlight w:val="green"/>
        </w:rPr>
        <w:t xml:space="preserve"> and other drug support</w:t>
      </w:r>
      <w:r w:rsidRPr="00CD0627">
        <w:rPr>
          <w:highlight w:val="green"/>
        </w:rPr>
        <w:t>)</w:t>
      </w:r>
      <w:r>
        <w:rPr>
          <w:highlight w:val="green"/>
        </w:rPr>
        <w:t xml:space="preserve"> and outline how you meet them</w:t>
      </w:r>
      <w:r w:rsidRPr="00CD0627">
        <w:rPr>
          <w:highlight w:val="green"/>
        </w:rPr>
        <w:t>.</w:t>
      </w:r>
    </w:p>
    <w:p w14:paraId="0AC0E907" w14:textId="77777777" w:rsidR="0022039C" w:rsidRPr="00700CA9" w:rsidRDefault="0022039C" w:rsidP="00D10788">
      <w:pPr>
        <w:pStyle w:val="Heading3"/>
        <w:rPr>
          <w:color w:val="auto"/>
        </w:rPr>
      </w:pPr>
      <w:r w:rsidRPr="00700CA9">
        <w:t>Alcohol and Other Drugs</w:t>
      </w:r>
    </w:p>
    <w:p w14:paraId="25B86219" w14:textId="6494A829" w:rsidR="0022039C" w:rsidRDefault="00D87DF9" w:rsidP="003D030A">
      <w:pPr>
        <w:rPr>
          <w:highlight w:val="yellow"/>
        </w:rPr>
      </w:pPr>
      <w:r w:rsidRPr="00D87DF9">
        <w:rPr>
          <w:highlight w:val="yellow"/>
        </w:rPr>
        <w:t>Remove section if service type is irrelevant.</w:t>
      </w:r>
    </w:p>
    <w:p w14:paraId="4E76BD68" w14:textId="77777777" w:rsidR="00690EF8" w:rsidRPr="004A068E" w:rsidRDefault="00690EF8" w:rsidP="00690EF8">
      <w:r>
        <w:t>Specific g</w:t>
      </w:r>
      <w:r w:rsidRPr="002F15BD">
        <w:t xml:space="preserve">overnance processes </w:t>
      </w:r>
      <w:r>
        <w:t xml:space="preserve">to meet our legal, </w:t>
      </w:r>
      <w:proofErr w:type="gramStart"/>
      <w:r>
        <w:t>regulatory</w:t>
      </w:r>
      <w:proofErr w:type="gramEnd"/>
      <w:r>
        <w:t xml:space="preserve"> and professional responsibilities in this area are:</w:t>
      </w:r>
    </w:p>
    <w:p w14:paraId="71929F7B" w14:textId="77777777" w:rsidR="003B42B7" w:rsidRDefault="003B42B7" w:rsidP="00882B77">
      <w:pPr>
        <w:pStyle w:val="Bulletlist"/>
      </w:pPr>
      <w:r w:rsidRPr="00CD0627">
        <w:rPr>
          <w:highlight w:val="green"/>
        </w:rPr>
        <w:t xml:space="preserve">Outline your processes for meeting your responsibilities under the </w:t>
      </w:r>
      <w:r>
        <w:rPr>
          <w:highlight w:val="green"/>
        </w:rPr>
        <w:t>relevant investment specification and/or Service Agreement</w:t>
      </w:r>
      <w:r w:rsidRPr="00CD0627">
        <w:rPr>
          <w:highlight w:val="green"/>
        </w:rPr>
        <w:t>.</w:t>
      </w:r>
    </w:p>
    <w:p w14:paraId="20FD24ED" w14:textId="5BEB6D67" w:rsidR="003B42B7" w:rsidRDefault="003B42B7" w:rsidP="00882B77">
      <w:pPr>
        <w:pStyle w:val="Bulletlist"/>
      </w:pPr>
      <w:r>
        <w:rPr>
          <w:highlight w:val="green"/>
        </w:rPr>
        <w:t>Describe the processes in place to support recovery-oriented mental health service provision and compliance with the principles and practices of the National Quality Framework for Drug and Alcohol Treatment Services.</w:t>
      </w:r>
    </w:p>
    <w:p w14:paraId="787BAD81" w14:textId="6333C9CF" w:rsidR="003B42B7" w:rsidRDefault="003B42B7" w:rsidP="00882B77">
      <w:pPr>
        <w:pStyle w:val="Bulletlist"/>
      </w:pPr>
      <w:r w:rsidRPr="00CD0627">
        <w:rPr>
          <w:highlight w:val="green"/>
        </w:rPr>
        <w:t>Identify or include reference to other relevant standards/requirements used to inform your governance of services provision</w:t>
      </w:r>
      <w:r>
        <w:rPr>
          <w:highlight w:val="green"/>
        </w:rPr>
        <w:t xml:space="preserve"> to people with disabilities</w:t>
      </w:r>
      <w:r w:rsidRPr="00CD0627">
        <w:rPr>
          <w:highlight w:val="green"/>
        </w:rPr>
        <w:t xml:space="preserve">, including relevant legislation and guidelines relevant to the </w:t>
      </w:r>
      <w:r w:rsidRPr="00CD0627">
        <w:rPr>
          <w:highlight w:val="green"/>
        </w:rPr>
        <w:lastRenderedPageBreak/>
        <w:t xml:space="preserve">communities/groups you serve (e.g., </w:t>
      </w:r>
      <w:r>
        <w:rPr>
          <w:highlight w:val="green"/>
        </w:rPr>
        <w:t xml:space="preserve">domestic and family violence support, </w:t>
      </w:r>
      <w:proofErr w:type="gramStart"/>
      <w:r>
        <w:rPr>
          <w:highlight w:val="green"/>
        </w:rPr>
        <w:t>alcohol</w:t>
      </w:r>
      <w:proofErr w:type="gramEnd"/>
      <w:r>
        <w:rPr>
          <w:highlight w:val="green"/>
        </w:rPr>
        <w:t xml:space="preserve"> and mental health support, working with young people</w:t>
      </w:r>
      <w:r w:rsidRPr="00CD0627">
        <w:rPr>
          <w:highlight w:val="green"/>
        </w:rPr>
        <w:t>)</w:t>
      </w:r>
      <w:r>
        <w:rPr>
          <w:highlight w:val="green"/>
        </w:rPr>
        <w:t xml:space="preserve"> and outline how you meet them</w:t>
      </w:r>
      <w:r w:rsidRPr="00CD0627">
        <w:rPr>
          <w:highlight w:val="green"/>
        </w:rPr>
        <w:t>.</w:t>
      </w:r>
    </w:p>
    <w:p w14:paraId="78F28C4E" w14:textId="77777777" w:rsidR="005C78E8" w:rsidRPr="00700CA9" w:rsidRDefault="005C78E8" w:rsidP="005C78E8">
      <w:pPr>
        <w:pStyle w:val="Heading2"/>
      </w:pPr>
      <w:r w:rsidRPr="00700CA9">
        <w:t>Service Delivery</w:t>
      </w:r>
    </w:p>
    <w:p w14:paraId="0BFD7670" w14:textId="6BD16EAC" w:rsidR="005C78E8" w:rsidRDefault="005C78E8" w:rsidP="00882B77">
      <w:pPr>
        <w:pStyle w:val="Bulletlist"/>
      </w:pPr>
      <w:r w:rsidRPr="00700CA9">
        <w:t>The</w:t>
      </w:r>
      <w:r w:rsidR="00E027FF">
        <w:t xml:space="preserve"> governance body </w:t>
      </w:r>
      <w:r w:rsidRPr="00700CA9">
        <w:t>is responsible for</w:t>
      </w:r>
      <w:r w:rsidR="00E67CE7">
        <w:t xml:space="preserve"> the</w:t>
      </w:r>
      <w:r w:rsidR="00E027FF">
        <w:t xml:space="preserve"> </w:t>
      </w:r>
      <w:r w:rsidR="00E027FF" w:rsidRPr="00E67CE7">
        <w:t>organisation</w:t>
      </w:r>
      <w:r w:rsidR="00E027FF">
        <w:t>’s</w:t>
      </w:r>
      <w:r w:rsidRPr="00700CA9">
        <w:t xml:space="preserve"> compliance with the legislative and </w:t>
      </w:r>
      <w:r w:rsidR="009605A4">
        <w:t xml:space="preserve">non-legislative quality and safety requirements for workplaces, </w:t>
      </w:r>
      <w:proofErr w:type="gramStart"/>
      <w:r w:rsidR="009605A4">
        <w:t>employment</w:t>
      </w:r>
      <w:proofErr w:type="gramEnd"/>
      <w:r w:rsidR="009605A4">
        <w:t xml:space="preserve"> and each program/service </w:t>
      </w:r>
      <w:r w:rsidRPr="00700CA9">
        <w:t>we deliver.</w:t>
      </w:r>
    </w:p>
    <w:p w14:paraId="2B0FD057" w14:textId="218C0D5C" w:rsidR="00822274" w:rsidRDefault="00E67CE7" w:rsidP="00882B77">
      <w:pPr>
        <w:pStyle w:val="Bulletlist"/>
      </w:pPr>
      <w:r>
        <w:t xml:space="preserve">To support this compliance, </w:t>
      </w:r>
      <w:r w:rsidRPr="000635B4">
        <w:rPr>
          <w:highlight w:val="yellow"/>
        </w:rPr>
        <w:t>organisation</w:t>
      </w:r>
      <w:r>
        <w:t>:</w:t>
      </w:r>
    </w:p>
    <w:p w14:paraId="1748036C" w14:textId="0A21D94F" w:rsidR="009128DF" w:rsidRDefault="009128DF" w:rsidP="00882B77">
      <w:pPr>
        <w:pStyle w:val="ListParagraph"/>
        <w:numPr>
          <w:ilvl w:val="1"/>
          <w:numId w:val="8"/>
        </w:numPr>
        <w:ind w:left="993"/>
      </w:pPr>
      <w:r>
        <w:t xml:space="preserve">Undertakes appropriate recruitment, </w:t>
      </w:r>
      <w:proofErr w:type="gramStart"/>
      <w:r>
        <w:t>screening</w:t>
      </w:r>
      <w:proofErr w:type="gramEnd"/>
      <w:r>
        <w:t xml:space="preserve"> and human resource management practices, including </w:t>
      </w:r>
      <w:r w:rsidR="00FA5836">
        <w:t>police and Blue Card checks for all relevant employees/volunteers</w:t>
      </w:r>
      <w:r w:rsidR="0075487D">
        <w:t xml:space="preserve">, as detailed in the </w:t>
      </w:r>
      <w:r w:rsidR="0075487D" w:rsidRPr="0075487D">
        <w:rPr>
          <w:highlight w:val="yellow"/>
        </w:rPr>
        <w:t>(refer to relevant policies and procedures)</w:t>
      </w:r>
      <w:r w:rsidR="00FA5836">
        <w:t>.</w:t>
      </w:r>
    </w:p>
    <w:p w14:paraId="3EE0AE64" w14:textId="647FE33B" w:rsidR="00FA5836" w:rsidRDefault="00FA5836" w:rsidP="00882B77">
      <w:pPr>
        <w:pStyle w:val="ListParagraph"/>
        <w:numPr>
          <w:ilvl w:val="1"/>
          <w:numId w:val="8"/>
        </w:numPr>
        <w:ind w:left="993"/>
      </w:pPr>
      <w:r>
        <w:t xml:space="preserve">Provides all </w:t>
      </w:r>
      <w:r w:rsidR="00B1102C">
        <w:t xml:space="preserve">employees and </w:t>
      </w:r>
      <w:r>
        <w:t xml:space="preserve">volunteers with policies, procedures, other guidance, </w:t>
      </w:r>
      <w:proofErr w:type="gramStart"/>
      <w:r>
        <w:t>training</w:t>
      </w:r>
      <w:proofErr w:type="gramEnd"/>
      <w:r>
        <w:t xml:space="preserve"> and supervision adequate to their safe and effective performance of their roles</w:t>
      </w:r>
      <w:r w:rsidR="0075487D">
        <w:t xml:space="preserve">, as detailed in the </w:t>
      </w:r>
      <w:r w:rsidR="0075487D" w:rsidRPr="0075487D">
        <w:rPr>
          <w:highlight w:val="yellow"/>
        </w:rPr>
        <w:t>(refer to relevant policies and procedures)</w:t>
      </w:r>
      <w:r>
        <w:t>.</w:t>
      </w:r>
    </w:p>
    <w:p w14:paraId="3383809C" w14:textId="0BEC9E22" w:rsidR="00FA5836" w:rsidRDefault="00FA5836" w:rsidP="00882B77">
      <w:pPr>
        <w:pStyle w:val="ListParagraph"/>
        <w:numPr>
          <w:ilvl w:val="1"/>
          <w:numId w:val="8"/>
        </w:numPr>
        <w:ind w:left="993"/>
      </w:pPr>
      <w:r>
        <w:t xml:space="preserve">Has appropriate policies and processes for receiving and responding to complaints from </w:t>
      </w:r>
      <w:r w:rsidR="00B1102C">
        <w:t>employees</w:t>
      </w:r>
      <w:r w:rsidR="00EA1DA5">
        <w:t>, volunteers</w:t>
      </w:r>
      <w:r>
        <w:t xml:space="preserve">, </w:t>
      </w:r>
      <w:proofErr w:type="gramStart"/>
      <w:r>
        <w:t>clients</w:t>
      </w:r>
      <w:proofErr w:type="gramEnd"/>
      <w:r>
        <w:t xml:space="preserve"> and community members</w:t>
      </w:r>
      <w:r w:rsidR="0075487D">
        <w:t xml:space="preserve">, as detailed in the </w:t>
      </w:r>
      <w:r w:rsidR="0075487D" w:rsidRPr="0075487D">
        <w:rPr>
          <w:highlight w:val="yellow"/>
        </w:rPr>
        <w:t>(refer to relevant policies and procedures)</w:t>
      </w:r>
      <w:r>
        <w:t>.</w:t>
      </w:r>
    </w:p>
    <w:p w14:paraId="5529A32B" w14:textId="23FE46F8" w:rsidR="00E67CE7" w:rsidRDefault="000635B4" w:rsidP="00882B77">
      <w:pPr>
        <w:pStyle w:val="ListParagraph"/>
        <w:numPr>
          <w:ilvl w:val="1"/>
          <w:numId w:val="8"/>
        </w:numPr>
        <w:ind w:left="993"/>
      </w:pPr>
      <w:r>
        <w:t xml:space="preserve">Ensures that our policies and practices align with general workplace and employment requirements and with the requirements for service areas </w:t>
      </w:r>
      <w:r w:rsidR="0002514C">
        <w:t xml:space="preserve">identified above and further, detailed in the </w:t>
      </w:r>
      <w:r w:rsidR="0002514C" w:rsidRPr="0075487D">
        <w:rPr>
          <w:highlight w:val="yellow"/>
        </w:rPr>
        <w:t>(refer to relevant policies and procedures)</w:t>
      </w:r>
      <w:r w:rsidR="00C5701B">
        <w:t>.</w:t>
      </w:r>
    </w:p>
    <w:p w14:paraId="75282D78" w14:textId="77777777" w:rsidR="00D6799E" w:rsidRPr="00700CA9" w:rsidRDefault="00D6799E" w:rsidP="00D6799E">
      <w:pPr>
        <w:pStyle w:val="Heading3"/>
      </w:pPr>
      <w:r w:rsidRPr="00700CA9">
        <w:t xml:space="preserve">Subcontracting </w:t>
      </w:r>
      <w:r>
        <w:t>and</w:t>
      </w:r>
      <w:r w:rsidRPr="00700CA9">
        <w:t xml:space="preserve"> </w:t>
      </w:r>
      <w:r>
        <w:t>B</w:t>
      </w:r>
      <w:r w:rsidRPr="00700CA9">
        <w:t>rokerage</w:t>
      </w:r>
    </w:p>
    <w:p w14:paraId="1E239EF9" w14:textId="04F67AB8" w:rsidR="00D6799E" w:rsidRDefault="00D6799E" w:rsidP="00D6799E">
      <w:r w:rsidRPr="00D6799E">
        <w:rPr>
          <w:highlight w:val="yellow"/>
        </w:rPr>
        <w:t>Remove if your organisation does not and will not undertake subcontracting/brokerage arrangements.</w:t>
      </w:r>
    </w:p>
    <w:p w14:paraId="21653F72" w14:textId="04C53F8C" w:rsidR="00D6799E" w:rsidRPr="00700CA9" w:rsidRDefault="00D6799E" w:rsidP="00882B77">
      <w:pPr>
        <w:pStyle w:val="Bulletlist"/>
      </w:pPr>
      <w:r w:rsidRPr="00700CA9">
        <w:t>As per our Service Agreement, we seek prior written consent from the Queensland Government department before subcontracting any part of our funded service obligations</w:t>
      </w:r>
      <w:r>
        <w:t>.</w:t>
      </w:r>
    </w:p>
    <w:p w14:paraId="443FACCA" w14:textId="77777777" w:rsidR="00D6799E" w:rsidRPr="00700CA9" w:rsidRDefault="00D6799E" w:rsidP="00882B77">
      <w:pPr>
        <w:pStyle w:val="Bulletlist"/>
      </w:pPr>
      <w:r w:rsidRPr="00700CA9">
        <w:t>Where we subcontract services</w:t>
      </w:r>
      <w:r>
        <w:t>, we</w:t>
      </w:r>
      <w:r w:rsidRPr="00700CA9">
        <w:t xml:space="preserve">: </w:t>
      </w:r>
    </w:p>
    <w:p w14:paraId="59D499F2" w14:textId="77777777" w:rsidR="00D6799E" w:rsidRPr="00700CA9" w:rsidRDefault="00D6799E" w:rsidP="00882B77">
      <w:pPr>
        <w:pStyle w:val="ListParagraph"/>
        <w:numPr>
          <w:ilvl w:val="1"/>
          <w:numId w:val="7"/>
        </w:numPr>
        <w:ind w:left="993"/>
      </w:pPr>
      <w:r>
        <w:t>S</w:t>
      </w:r>
      <w:r w:rsidRPr="00700CA9">
        <w:t xml:space="preserve">creen and monitor the subcontractor's compliance with the </w:t>
      </w:r>
      <w:r w:rsidRPr="00F916BB">
        <w:rPr>
          <w:i/>
        </w:rPr>
        <w:t>Human Services Quality Framework</w:t>
      </w:r>
      <w:r>
        <w:rPr>
          <w:iCs/>
        </w:rPr>
        <w:t xml:space="preserve"> by </w:t>
      </w:r>
      <w:r w:rsidRPr="00AB413C">
        <w:rPr>
          <w:iCs/>
          <w:highlight w:val="green"/>
        </w:rPr>
        <w:t>outline your screening/monitoring process</w:t>
      </w:r>
      <w:r>
        <w:rPr>
          <w:iCs/>
        </w:rPr>
        <w:t>.</w:t>
      </w:r>
    </w:p>
    <w:p w14:paraId="2DE63FBE" w14:textId="159547D0" w:rsidR="00D6799E" w:rsidRDefault="00D6799E" w:rsidP="00882B77">
      <w:pPr>
        <w:pStyle w:val="ListParagraph"/>
        <w:numPr>
          <w:ilvl w:val="1"/>
          <w:numId w:val="7"/>
        </w:numPr>
        <w:ind w:left="993"/>
      </w:pPr>
      <w:r>
        <w:t>M</w:t>
      </w:r>
      <w:r w:rsidRPr="00700CA9">
        <w:t>onitor the subcontractor's compliance with their contractual responsibilities</w:t>
      </w:r>
      <w:r>
        <w:t xml:space="preserve"> by </w:t>
      </w:r>
      <w:r w:rsidRPr="00AB413C">
        <w:rPr>
          <w:iCs/>
          <w:highlight w:val="green"/>
        </w:rPr>
        <w:t>outline your monitoring process</w:t>
      </w:r>
      <w:r>
        <w:t>.</w:t>
      </w:r>
    </w:p>
    <w:p w14:paraId="132F7E81" w14:textId="42901E46" w:rsidR="006D75CB" w:rsidRPr="00700CA9" w:rsidRDefault="006D75CB" w:rsidP="006D75CB">
      <w:pPr>
        <w:pStyle w:val="Heading2"/>
        <w:rPr>
          <w:color w:val="FAA61A"/>
        </w:rPr>
      </w:pPr>
      <w:r w:rsidRPr="00700CA9">
        <w:t xml:space="preserve">Reporting </w:t>
      </w:r>
      <w:r>
        <w:t>O</w:t>
      </w:r>
      <w:r w:rsidRPr="00700CA9">
        <w:t>bligations</w:t>
      </w:r>
    </w:p>
    <w:p w14:paraId="2014E100" w14:textId="7EB376EB" w:rsidR="006D75CB" w:rsidRPr="00700CA9" w:rsidRDefault="006D75CB" w:rsidP="00882B77">
      <w:pPr>
        <w:pStyle w:val="Bulletlist"/>
      </w:pPr>
      <w:r w:rsidRPr="00700CA9">
        <w:t>The</w:t>
      </w:r>
      <w:r w:rsidR="008D420A">
        <w:t xml:space="preserve"> governing body </w:t>
      </w:r>
      <w:r w:rsidRPr="00700CA9">
        <w:t>is responsible for meeting reporting obligations to</w:t>
      </w:r>
      <w:r w:rsidR="008D420A">
        <w:t xml:space="preserve"> </w:t>
      </w:r>
      <w:r w:rsidR="008D420A" w:rsidRPr="00F878CC">
        <w:rPr>
          <w:highlight w:val="yellow"/>
        </w:rPr>
        <w:t>(add/adapt/remove items as appropriate)</w:t>
      </w:r>
      <w:r w:rsidRPr="00700CA9">
        <w:t xml:space="preserve">: </w:t>
      </w:r>
    </w:p>
    <w:p w14:paraId="5C087113" w14:textId="0DE7A7CE" w:rsidR="006D75CB" w:rsidRPr="00502F4F" w:rsidRDefault="006D75CB" w:rsidP="00882B77">
      <w:pPr>
        <w:pStyle w:val="ListParagraph"/>
        <w:numPr>
          <w:ilvl w:val="1"/>
          <w:numId w:val="15"/>
        </w:numPr>
        <w:ind w:left="993"/>
      </w:pPr>
      <w:r w:rsidRPr="00700CA9">
        <w:t>Australian Charities and Not-for-profit Commission</w:t>
      </w:r>
      <w:r w:rsidR="008D420A">
        <w:t>.</w:t>
      </w:r>
    </w:p>
    <w:p w14:paraId="4AE6C8F5" w14:textId="0B1D2FAE" w:rsidR="006D75CB" w:rsidRPr="00700CA9" w:rsidRDefault="006D75CB" w:rsidP="00882B77">
      <w:pPr>
        <w:pStyle w:val="ListParagraph"/>
        <w:numPr>
          <w:ilvl w:val="1"/>
          <w:numId w:val="15"/>
        </w:numPr>
        <w:ind w:left="993"/>
      </w:pPr>
      <w:r w:rsidRPr="00700CA9">
        <w:t>Australian Taxation Office</w:t>
      </w:r>
      <w:r w:rsidR="008D420A">
        <w:t>.</w:t>
      </w:r>
    </w:p>
    <w:p w14:paraId="12B83DCB" w14:textId="79BACF45" w:rsidR="006D75CB" w:rsidRPr="00502F4F" w:rsidRDefault="006D75CB" w:rsidP="00882B77">
      <w:pPr>
        <w:pStyle w:val="ListParagraph"/>
        <w:numPr>
          <w:ilvl w:val="1"/>
          <w:numId w:val="15"/>
        </w:numPr>
        <w:ind w:left="993"/>
      </w:pPr>
      <w:r w:rsidRPr="00700CA9">
        <w:t>Australian Government</w:t>
      </w:r>
      <w:r w:rsidR="008D420A">
        <w:t>.</w:t>
      </w:r>
    </w:p>
    <w:p w14:paraId="41273F9B" w14:textId="0EAE7897" w:rsidR="006D75CB" w:rsidRPr="00700CA9" w:rsidRDefault="006D75CB" w:rsidP="00882B77">
      <w:pPr>
        <w:pStyle w:val="ListParagraph"/>
        <w:numPr>
          <w:ilvl w:val="1"/>
          <w:numId w:val="15"/>
        </w:numPr>
        <w:ind w:left="993"/>
      </w:pPr>
      <w:r w:rsidRPr="00700CA9">
        <w:t>Queensland Government</w:t>
      </w:r>
      <w:r w:rsidR="008D420A">
        <w:t>.</w:t>
      </w:r>
      <w:r w:rsidRPr="00700CA9">
        <w:t xml:space="preserve"> </w:t>
      </w:r>
    </w:p>
    <w:p w14:paraId="73E3C533" w14:textId="4C68A79C" w:rsidR="006D75CB" w:rsidRPr="00882B77" w:rsidRDefault="006D75CB" w:rsidP="00882B77">
      <w:pPr>
        <w:pStyle w:val="Bulletlist"/>
        <w:rPr>
          <w:b/>
        </w:rPr>
      </w:pPr>
      <w:r w:rsidRPr="00F878CC">
        <w:rPr>
          <w:highlight w:val="yellow"/>
        </w:rPr>
        <w:t>Organisation</w:t>
      </w:r>
      <w:r w:rsidRPr="00700CA9">
        <w:t xml:space="preserve"> fulfils our obligation to report to the Queensland Government, as per our Service Agree</w:t>
      </w:r>
      <w:r w:rsidRPr="00882B77">
        <w:t>ment</w:t>
      </w:r>
      <w:r w:rsidR="002C7552" w:rsidRPr="00882B77">
        <w:t>, by:</w:t>
      </w:r>
    </w:p>
    <w:p w14:paraId="7F3D6B02" w14:textId="08649118" w:rsidR="002C7552" w:rsidRPr="00882B77" w:rsidRDefault="002C7552" w:rsidP="00882B77">
      <w:pPr>
        <w:pStyle w:val="ListParagraph"/>
        <w:numPr>
          <w:ilvl w:val="1"/>
          <w:numId w:val="15"/>
        </w:numPr>
        <w:ind w:left="993"/>
      </w:pPr>
      <w:r w:rsidRPr="00882B77">
        <w:rPr>
          <w:highlight w:val="green"/>
        </w:rPr>
        <w:t>Outline the procedures for reporting to the funding body(</w:t>
      </w:r>
      <w:proofErr w:type="spellStart"/>
      <w:r w:rsidRPr="00882B77">
        <w:rPr>
          <w:highlight w:val="green"/>
        </w:rPr>
        <w:t>ies</w:t>
      </w:r>
      <w:proofErr w:type="spellEnd"/>
      <w:r w:rsidRPr="00882B77">
        <w:rPr>
          <w:highlight w:val="green"/>
        </w:rPr>
        <w:t>) (e.g., through P2i).</w:t>
      </w:r>
    </w:p>
    <w:p w14:paraId="04112566" w14:textId="37DB0FE0" w:rsidR="006D75CB" w:rsidRPr="00882B77" w:rsidRDefault="002C7552" w:rsidP="00882B77">
      <w:pPr>
        <w:pStyle w:val="ListParagraph"/>
        <w:numPr>
          <w:ilvl w:val="1"/>
          <w:numId w:val="15"/>
        </w:numPr>
        <w:ind w:left="993"/>
      </w:pPr>
      <w:r w:rsidRPr="00882B77">
        <w:rPr>
          <w:highlight w:val="green"/>
        </w:rPr>
        <w:t xml:space="preserve">Identify changes that need to be reported and processes for doing so (e.g., in relation to </w:t>
      </w:r>
      <w:r w:rsidR="006D75CB" w:rsidRPr="00882B77">
        <w:rPr>
          <w:highlight w:val="green"/>
        </w:rPr>
        <w:t xml:space="preserve">structure or governing </w:t>
      </w:r>
      <w:r w:rsidRPr="00882B77">
        <w:rPr>
          <w:highlight w:val="green"/>
        </w:rPr>
        <w:t>b</w:t>
      </w:r>
      <w:r w:rsidR="006D75CB" w:rsidRPr="00882B77">
        <w:rPr>
          <w:highlight w:val="green"/>
        </w:rPr>
        <w:t>ody changes</w:t>
      </w:r>
      <w:r w:rsidRPr="00882B77">
        <w:rPr>
          <w:highlight w:val="green"/>
        </w:rPr>
        <w:t>, constitution/rules/title deed changes).</w:t>
      </w:r>
    </w:p>
    <w:p w14:paraId="03A2460C" w14:textId="622AF6C6" w:rsidR="0022039C" w:rsidRPr="00700CA9" w:rsidRDefault="0022039C" w:rsidP="006D75CB">
      <w:pPr>
        <w:pStyle w:val="Heading2"/>
      </w:pPr>
      <w:r w:rsidRPr="00700CA9">
        <w:t xml:space="preserve">Delegation of </w:t>
      </w:r>
      <w:r w:rsidR="00245E9E">
        <w:t>A</w:t>
      </w:r>
      <w:r w:rsidRPr="00700CA9">
        <w:t>uthority</w:t>
      </w:r>
    </w:p>
    <w:p w14:paraId="45598FE4" w14:textId="10C416CA" w:rsidR="001B3583" w:rsidRDefault="00FE2C09" w:rsidP="001B3583">
      <w:r w:rsidRPr="00FE2C09">
        <w:rPr>
          <w:highlight w:val="yellow"/>
        </w:rPr>
        <w:t xml:space="preserve">Delete this section if your organisation has a policy and set of procedures specific to </w:t>
      </w:r>
      <w:proofErr w:type="gramStart"/>
      <w:r w:rsidRPr="00FE2C09">
        <w:rPr>
          <w:highlight w:val="yellow"/>
        </w:rPr>
        <w:t>delegations</w:t>
      </w:r>
      <w:r>
        <w:rPr>
          <w:highlight w:val="yellow"/>
        </w:rPr>
        <w:t>, and</w:t>
      </w:r>
      <w:proofErr w:type="gramEnd"/>
      <w:r>
        <w:rPr>
          <w:highlight w:val="yellow"/>
        </w:rPr>
        <w:t xml:space="preserve"> include reference to this policy and associated procedure</w:t>
      </w:r>
      <w:r w:rsidR="00245E9E">
        <w:rPr>
          <w:highlight w:val="yellow"/>
        </w:rPr>
        <w:t xml:space="preserve">s under </w:t>
      </w:r>
      <w:r w:rsidR="008D420A">
        <w:rPr>
          <w:b/>
          <w:bCs/>
          <w:highlight w:val="yellow"/>
        </w:rPr>
        <w:t>Related Policies and Procedures</w:t>
      </w:r>
      <w:r w:rsidRPr="00FE2C09">
        <w:rPr>
          <w:highlight w:val="yellow"/>
        </w:rPr>
        <w:t>.</w:t>
      </w:r>
    </w:p>
    <w:p w14:paraId="0365DAF5" w14:textId="02FF9569" w:rsidR="0022039C" w:rsidRPr="00700CA9" w:rsidRDefault="0022039C" w:rsidP="00670745">
      <w:pPr>
        <w:pStyle w:val="Bulletlist"/>
      </w:pPr>
      <w:r w:rsidRPr="00700CA9">
        <w:lastRenderedPageBreak/>
        <w:t xml:space="preserve">Our </w:t>
      </w:r>
      <w:r w:rsidR="002C7552">
        <w:t>o</w:t>
      </w:r>
      <w:r w:rsidRPr="00700CA9">
        <w:t xml:space="preserve">rganisational </w:t>
      </w:r>
      <w:r w:rsidR="002C7552">
        <w:t xml:space="preserve">structure </w:t>
      </w:r>
      <w:r w:rsidRPr="00700CA9">
        <w:t>is</w:t>
      </w:r>
      <w:r w:rsidR="002C7552">
        <w:t xml:space="preserve"> detailed in the</w:t>
      </w:r>
      <w:r w:rsidRPr="00700CA9">
        <w:t xml:space="preserve"> </w:t>
      </w:r>
      <w:r w:rsidR="002C7552" w:rsidRPr="004C2AF0">
        <w:rPr>
          <w:highlight w:val="yellow"/>
        </w:rPr>
        <w:t>document name and hyperlink</w:t>
      </w:r>
      <w:r w:rsidRPr="00700CA9">
        <w:t>.</w:t>
      </w:r>
    </w:p>
    <w:p w14:paraId="54CD0B73" w14:textId="31EF2DCA" w:rsidR="0022039C" w:rsidRDefault="00D31081" w:rsidP="00670745">
      <w:pPr>
        <w:pStyle w:val="Bulletlist"/>
      </w:pPr>
      <w:r>
        <w:t xml:space="preserve">The </w:t>
      </w:r>
      <w:r w:rsidR="0022039C" w:rsidRPr="00700CA9">
        <w:t>Delegation Schedule</w:t>
      </w:r>
      <w:r>
        <w:t xml:space="preserve"> </w:t>
      </w:r>
      <w:r w:rsidRPr="00502F4F">
        <w:rPr>
          <w:highlight w:val="yellow"/>
        </w:rPr>
        <w:t>(include hyperlink</w:t>
      </w:r>
      <w:r w:rsidR="0056293A" w:rsidRPr="00502F4F">
        <w:rPr>
          <w:highlight w:val="yellow"/>
        </w:rPr>
        <w:t xml:space="preserve"> or attach the schedule as an appendix to this document and refer to the appendix here</w:t>
      </w:r>
      <w:r w:rsidRPr="00502F4F">
        <w:rPr>
          <w:highlight w:val="yellow"/>
        </w:rPr>
        <w:t>)</w:t>
      </w:r>
      <w:r w:rsidR="0022039C" w:rsidRPr="00700CA9">
        <w:t xml:space="preserve"> </w:t>
      </w:r>
      <w:r>
        <w:t xml:space="preserve">details the people/roles </w:t>
      </w:r>
      <w:r w:rsidR="00542C63">
        <w:t xml:space="preserve">responsible for </w:t>
      </w:r>
      <w:proofErr w:type="gramStart"/>
      <w:r w:rsidR="00542C63">
        <w:t xml:space="preserve">particular </w:t>
      </w:r>
      <w:r w:rsidR="0022039C" w:rsidRPr="00700CA9">
        <w:t>strategic</w:t>
      </w:r>
      <w:proofErr w:type="gramEnd"/>
      <w:r w:rsidR="0022039C" w:rsidRPr="00700CA9">
        <w:t>, financial and operational decision</w:t>
      </w:r>
      <w:r w:rsidR="00542C63">
        <w:t xml:space="preserve">s, such that all relevant people within the organisation </w:t>
      </w:r>
      <w:r w:rsidR="0022039C" w:rsidRPr="00700CA9">
        <w:t>know what decisions they can make and where they must seek approval for actions they wish to take</w:t>
      </w:r>
      <w:r w:rsidR="0056293A">
        <w:t>.</w:t>
      </w:r>
    </w:p>
    <w:p w14:paraId="394677F2" w14:textId="7DE5C49A" w:rsidR="0056293A" w:rsidRPr="00700CA9" w:rsidRDefault="0056293A" w:rsidP="00670745">
      <w:pPr>
        <w:pStyle w:val="Bulletlist"/>
      </w:pPr>
      <w:r>
        <w:t xml:space="preserve">The Delegation Schedule is approved by the governance body no less frequently than every </w:t>
      </w:r>
      <w:r w:rsidR="008D29F5" w:rsidRPr="004C2AF0">
        <w:rPr>
          <w:highlight w:val="yellow"/>
        </w:rPr>
        <w:t>review/ratification schedule, e.g., year, two years</w:t>
      </w:r>
      <w:r w:rsidR="008D29F5">
        <w:t>.</w:t>
      </w:r>
    </w:p>
    <w:p w14:paraId="291AE10E" w14:textId="20954396" w:rsidR="0022039C" w:rsidRPr="00700CA9" w:rsidRDefault="0022039C" w:rsidP="003D030A">
      <w:pPr>
        <w:pStyle w:val="Heading2"/>
      </w:pPr>
      <w:bookmarkStart w:id="7" w:name="_heading=h.azv8076foo9l"/>
      <w:bookmarkEnd w:id="7"/>
      <w:r w:rsidRPr="00700CA9">
        <w:t xml:space="preserve">Development and </w:t>
      </w:r>
      <w:r w:rsidR="008D420A">
        <w:t>Ratification</w:t>
      </w:r>
      <w:r w:rsidRPr="00700CA9">
        <w:t xml:space="preserve"> of Policy and Procedures</w:t>
      </w:r>
    </w:p>
    <w:p w14:paraId="30D57629" w14:textId="77777777" w:rsidR="008928BC" w:rsidRDefault="008928BC" w:rsidP="00670745">
      <w:pPr>
        <w:pStyle w:val="Bulletlist"/>
      </w:pPr>
      <w:r>
        <w:t xml:space="preserve">All policies and procedures are listed in the Policies and Procedures Register </w:t>
      </w:r>
      <w:r w:rsidRPr="008928BC">
        <w:rPr>
          <w:highlight w:val="yellow"/>
        </w:rPr>
        <w:t>(adapt document name as appropriate)</w:t>
      </w:r>
      <w:r>
        <w:t>.</w:t>
      </w:r>
    </w:p>
    <w:p w14:paraId="073891A8" w14:textId="48B5B439" w:rsidR="0022039C" w:rsidRPr="00700CA9" w:rsidRDefault="0022039C" w:rsidP="00670745">
      <w:pPr>
        <w:pStyle w:val="Bulletlist"/>
      </w:pPr>
      <w:r w:rsidRPr="00700CA9">
        <w:t xml:space="preserve">The </w:t>
      </w:r>
      <w:r w:rsidR="004C2AF0">
        <w:t xml:space="preserve">governance body </w:t>
      </w:r>
      <w:r w:rsidRPr="00700CA9">
        <w:t xml:space="preserve">is responsible for ensuring </w:t>
      </w:r>
      <w:r w:rsidR="004C2AF0" w:rsidRPr="008928BC">
        <w:t>organisation</w:t>
      </w:r>
      <w:r w:rsidR="004C2AF0">
        <w:t>’s</w:t>
      </w:r>
      <w:r w:rsidRPr="00700CA9">
        <w:t xml:space="preserve"> </w:t>
      </w:r>
      <w:r w:rsidR="004C2AF0">
        <w:t>p</w:t>
      </w:r>
      <w:r w:rsidRPr="00700CA9">
        <w:t xml:space="preserve">olicies and </w:t>
      </w:r>
      <w:r w:rsidR="004C2AF0">
        <w:t>p</w:t>
      </w:r>
      <w:r w:rsidRPr="00700CA9">
        <w:t xml:space="preserve">rocedures: </w:t>
      </w:r>
    </w:p>
    <w:p w14:paraId="20389D05" w14:textId="257609BE" w:rsidR="0022039C" w:rsidRPr="00700CA9" w:rsidRDefault="0022039C" w:rsidP="008A5AFC">
      <w:pPr>
        <w:pStyle w:val="ListParagraph"/>
        <w:numPr>
          <w:ilvl w:val="1"/>
          <w:numId w:val="7"/>
        </w:numPr>
        <w:ind w:left="993"/>
      </w:pPr>
      <w:r w:rsidRPr="00700CA9">
        <w:t>reflect the values and objectives of the organisation</w:t>
      </w:r>
      <w:r w:rsidR="004C2AF0">
        <w:t>,</w:t>
      </w:r>
    </w:p>
    <w:p w14:paraId="36EC8B21" w14:textId="3CC1F353" w:rsidR="0022039C" w:rsidRDefault="0022039C" w:rsidP="008A5AFC">
      <w:pPr>
        <w:pStyle w:val="ListParagraph"/>
        <w:numPr>
          <w:ilvl w:val="1"/>
          <w:numId w:val="7"/>
        </w:numPr>
        <w:ind w:left="993"/>
      </w:pPr>
      <w:r w:rsidRPr="00700CA9">
        <w:t>align with our legislative and regulatory obligations</w:t>
      </w:r>
      <w:r w:rsidR="004C2AF0">
        <w:t>, and</w:t>
      </w:r>
    </w:p>
    <w:p w14:paraId="66432DCE" w14:textId="22B40F68" w:rsidR="004C2AF0" w:rsidRPr="00700CA9" w:rsidRDefault="00DE4EE2" w:rsidP="008A5AFC">
      <w:pPr>
        <w:pStyle w:val="ListParagraph"/>
        <w:numPr>
          <w:ilvl w:val="1"/>
          <w:numId w:val="7"/>
        </w:numPr>
        <w:ind w:left="993"/>
      </w:pPr>
      <w:r>
        <w:t xml:space="preserve">support all </w:t>
      </w:r>
      <w:r w:rsidR="00EA1DA5">
        <w:t xml:space="preserve">employees </w:t>
      </w:r>
      <w:r>
        <w:t>and volunteers to fulfil their roles and manage their delegated responsibilities with clarity and currency of information.</w:t>
      </w:r>
    </w:p>
    <w:p w14:paraId="00C8B3A5" w14:textId="77777777" w:rsidR="008928BC" w:rsidRPr="008928BC" w:rsidRDefault="00DE4EE2" w:rsidP="00670745">
      <w:pPr>
        <w:pStyle w:val="Bulletlist"/>
      </w:pPr>
      <w:r w:rsidRPr="008928BC">
        <w:t>Describe</w:t>
      </w:r>
      <w:r w:rsidRPr="00BE1C08">
        <w:rPr>
          <w:highlight w:val="green"/>
        </w:rPr>
        <w:t xml:space="preserve"> your organisation’s process for </w:t>
      </w:r>
      <w:r w:rsidR="00BE1C08" w:rsidRPr="00BE1C08">
        <w:rPr>
          <w:highlight w:val="green"/>
        </w:rPr>
        <w:t>drafting new/updated policies and procedures, including the person/people/committee responsible for drafting.</w:t>
      </w:r>
    </w:p>
    <w:p w14:paraId="34C749C7" w14:textId="77777777" w:rsidR="008928BC" w:rsidRPr="008928BC" w:rsidRDefault="00BE1C08" w:rsidP="00670745">
      <w:pPr>
        <w:pStyle w:val="Bulletlist"/>
      </w:pPr>
      <w:r w:rsidRPr="008928BC">
        <w:rPr>
          <w:highlight w:val="green"/>
        </w:rPr>
        <w:t>Outline the methods used for staff/volunteer input, governance body feedback, client/cohort input if relevant, etc.</w:t>
      </w:r>
    </w:p>
    <w:p w14:paraId="26FB361C" w14:textId="77777777" w:rsidR="008928BC" w:rsidRDefault="0090620C" w:rsidP="00670745">
      <w:pPr>
        <w:pStyle w:val="Bulletlist"/>
      </w:pPr>
      <w:r w:rsidRPr="008928BC">
        <w:rPr>
          <w:highlight w:val="green"/>
        </w:rPr>
        <w:t>Outline the governance body’s role in ratifying new/amended policies and procedures, including next steps if a proposed new/amended policy and procedures is not approved by the governance body.</w:t>
      </w:r>
    </w:p>
    <w:p w14:paraId="74AE87FD" w14:textId="782456FA" w:rsidR="0022039C" w:rsidRPr="00700CA9" w:rsidRDefault="0022039C" w:rsidP="00670745">
      <w:pPr>
        <w:pStyle w:val="Bulletlist"/>
      </w:pPr>
      <w:r w:rsidRPr="00700CA9">
        <w:t xml:space="preserve">Records </w:t>
      </w:r>
      <w:r w:rsidR="00906FA5">
        <w:t xml:space="preserve">of all reviews and </w:t>
      </w:r>
      <w:r w:rsidRPr="00700CA9">
        <w:t xml:space="preserve">updates to </w:t>
      </w:r>
      <w:r w:rsidR="00906FA5">
        <w:t>p</w:t>
      </w:r>
      <w:r w:rsidRPr="00700CA9">
        <w:t xml:space="preserve">olicies and </w:t>
      </w:r>
      <w:r w:rsidR="00906FA5">
        <w:t>p</w:t>
      </w:r>
      <w:r w:rsidRPr="00700CA9">
        <w:t xml:space="preserve">rocedures </w:t>
      </w:r>
      <w:r w:rsidR="00906FA5">
        <w:t xml:space="preserve">are documented in the Policies and Procedures Register </w:t>
      </w:r>
      <w:r w:rsidR="00906FA5" w:rsidRPr="008928BC">
        <w:rPr>
          <w:highlight w:val="yellow"/>
        </w:rPr>
        <w:t>(adapt document name as appropriate)</w:t>
      </w:r>
      <w:r w:rsidR="00906FA5">
        <w:t>.</w:t>
      </w:r>
    </w:p>
    <w:p w14:paraId="0C514356" w14:textId="2ADD55B7" w:rsidR="0022039C" w:rsidRPr="00700CA9" w:rsidRDefault="0022039C" w:rsidP="005C78E8">
      <w:pPr>
        <w:pStyle w:val="Heading2"/>
      </w:pPr>
      <w:r w:rsidRPr="00700CA9">
        <w:t xml:space="preserve">Strategic and </w:t>
      </w:r>
      <w:r w:rsidR="005C78E8">
        <w:t>O</w:t>
      </w:r>
      <w:r w:rsidRPr="00700CA9">
        <w:t xml:space="preserve">perational </w:t>
      </w:r>
      <w:r w:rsidR="005C78E8">
        <w:t>P</w:t>
      </w:r>
      <w:r w:rsidRPr="00700CA9">
        <w:t xml:space="preserve">lanning </w:t>
      </w:r>
    </w:p>
    <w:p w14:paraId="56B6A5BE" w14:textId="77777777" w:rsidR="00721B53" w:rsidRDefault="0022039C" w:rsidP="00670745">
      <w:pPr>
        <w:pStyle w:val="Bulletlist"/>
      </w:pPr>
      <w:r w:rsidRPr="00F916BB">
        <w:rPr>
          <w:highlight w:val="yellow"/>
        </w:rPr>
        <w:t>Organisation</w:t>
      </w:r>
      <w:r w:rsidRPr="00700CA9">
        <w:t xml:space="preserve"> develops </w:t>
      </w:r>
      <w:r w:rsidR="00744974">
        <w:t>s</w:t>
      </w:r>
      <w:r w:rsidRPr="00700CA9">
        <w:t xml:space="preserve">trategic and </w:t>
      </w:r>
      <w:r w:rsidR="00744974">
        <w:t>o</w:t>
      </w:r>
      <w:r w:rsidRPr="00700CA9">
        <w:t xml:space="preserve">perational </w:t>
      </w:r>
      <w:r w:rsidR="00744974">
        <w:t>p</w:t>
      </w:r>
      <w:r w:rsidRPr="00700CA9">
        <w:t>lan</w:t>
      </w:r>
      <w:r w:rsidR="00744974">
        <w:t xml:space="preserve">s every </w:t>
      </w:r>
      <w:r w:rsidR="00744974" w:rsidRPr="00744974">
        <w:rPr>
          <w:highlight w:val="yellow"/>
        </w:rPr>
        <w:t>number</w:t>
      </w:r>
      <w:r w:rsidR="00744974">
        <w:t xml:space="preserve"> </w:t>
      </w:r>
      <w:proofErr w:type="gramStart"/>
      <w:r w:rsidR="00744974">
        <w:t>years</w:t>
      </w:r>
      <w:proofErr w:type="gramEnd"/>
      <w:r w:rsidRPr="00700CA9">
        <w:t xml:space="preserve">. </w:t>
      </w:r>
    </w:p>
    <w:p w14:paraId="67DCB36D" w14:textId="7C1542F5" w:rsidR="0022039C" w:rsidRPr="00700CA9" w:rsidRDefault="0022039C" w:rsidP="00670745">
      <w:pPr>
        <w:pStyle w:val="Bulletlist"/>
      </w:pPr>
      <w:r w:rsidRPr="00700CA9">
        <w:t xml:space="preserve">Our </w:t>
      </w:r>
      <w:r w:rsidR="007D51DE">
        <w:t>s</w:t>
      </w:r>
      <w:r w:rsidRPr="00700CA9">
        <w:t xml:space="preserve">trategic and </w:t>
      </w:r>
      <w:r w:rsidR="007D51DE">
        <w:t>o</w:t>
      </w:r>
      <w:r w:rsidRPr="00700CA9">
        <w:t xml:space="preserve">perational </w:t>
      </w:r>
      <w:r w:rsidR="007D51DE">
        <w:t>p</w:t>
      </w:r>
      <w:r w:rsidRPr="00700CA9">
        <w:t xml:space="preserve">lan outline how our work aligns to: </w:t>
      </w:r>
    </w:p>
    <w:p w14:paraId="18DC4DD1" w14:textId="516C89D9" w:rsidR="0022039C" w:rsidRPr="00700CA9" w:rsidRDefault="0022039C" w:rsidP="00670745">
      <w:pPr>
        <w:pStyle w:val="ListParagraph"/>
        <w:numPr>
          <w:ilvl w:val="1"/>
          <w:numId w:val="7"/>
        </w:numPr>
        <w:ind w:left="993"/>
      </w:pPr>
      <w:r w:rsidRPr="00700CA9">
        <w:t xml:space="preserve">Our vision, </w:t>
      </w:r>
      <w:proofErr w:type="gramStart"/>
      <w:r w:rsidRPr="00700CA9">
        <w:t>purpose</w:t>
      </w:r>
      <w:proofErr w:type="gramEnd"/>
      <w:r w:rsidRPr="00700CA9">
        <w:t xml:space="preserve"> and values</w:t>
      </w:r>
      <w:r w:rsidR="007D51DE">
        <w:t>.</w:t>
      </w:r>
    </w:p>
    <w:p w14:paraId="56A21002" w14:textId="17737EE6" w:rsidR="0022039C" w:rsidRPr="00700CA9" w:rsidRDefault="0022039C" w:rsidP="00670745">
      <w:pPr>
        <w:pStyle w:val="ListParagraph"/>
        <w:numPr>
          <w:ilvl w:val="1"/>
          <w:numId w:val="7"/>
        </w:numPr>
        <w:ind w:left="993"/>
      </w:pPr>
      <w:r w:rsidRPr="00700CA9">
        <w:t xml:space="preserve">The </w:t>
      </w:r>
      <w:r w:rsidR="007D51DE">
        <w:t xml:space="preserve">standards and aims of the </w:t>
      </w:r>
      <w:r w:rsidRPr="00700CA9">
        <w:t>service</w:t>
      </w:r>
      <w:r w:rsidR="007D51DE">
        <w:t>(s)</w:t>
      </w:r>
      <w:r w:rsidRPr="00700CA9">
        <w:t xml:space="preserve"> we provide</w:t>
      </w:r>
      <w:r w:rsidR="007D51DE">
        <w:t>, including relevant legislation, regulations, service agreements</w:t>
      </w:r>
      <w:r w:rsidR="009D124F">
        <w:t xml:space="preserve">, </w:t>
      </w:r>
      <w:r w:rsidR="007D51DE">
        <w:t>and good practice principles.</w:t>
      </w:r>
    </w:p>
    <w:p w14:paraId="45F62581" w14:textId="5AE79819" w:rsidR="0022039C" w:rsidRPr="009D124F" w:rsidRDefault="009D124F" w:rsidP="00670745">
      <w:pPr>
        <w:pStyle w:val="ListParagraph"/>
        <w:numPr>
          <w:ilvl w:val="1"/>
          <w:numId w:val="7"/>
        </w:numPr>
        <w:ind w:left="993"/>
      </w:pPr>
      <w:r>
        <w:t xml:space="preserve">Safety and effective ways of meeting individual, </w:t>
      </w:r>
      <w:proofErr w:type="gramStart"/>
      <w:r>
        <w:t>family</w:t>
      </w:r>
      <w:proofErr w:type="gramEnd"/>
      <w:r>
        <w:t xml:space="preserve"> and community needs.</w:t>
      </w:r>
    </w:p>
    <w:p w14:paraId="6989C6F5" w14:textId="77777777" w:rsidR="00721B53" w:rsidRDefault="00976A5F" w:rsidP="00670745">
      <w:pPr>
        <w:pStyle w:val="Bulletlist"/>
      </w:pPr>
      <w:r>
        <w:t xml:space="preserve">Plans are </w:t>
      </w:r>
      <w:r w:rsidRPr="00976A5F">
        <w:rPr>
          <w:highlight w:val="yellow"/>
        </w:rPr>
        <w:t>approved/ratified</w:t>
      </w:r>
      <w:r>
        <w:t xml:space="preserve"> by the governance body.</w:t>
      </w:r>
    </w:p>
    <w:p w14:paraId="59E4C4B2" w14:textId="36B8C5D1" w:rsidR="0022039C" w:rsidRPr="00700CA9" w:rsidRDefault="007A0476" w:rsidP="00670745">
      <w:pPr>
        <w:pStyle w:val="Bulletlist"/>
      </w:pPr>
      <w:r>
        <w:t xml:space="preserve">Plans are reviewed and updated </w:t>
      </w:r>
      <w:r w:rsidRPr="00721B53">
        <w:rPr>
          <w:highlight w:val="yellow"/>
        </w:rPr>
        <w:t>frequency (e.g., yearly)</w:t>
      </w:r>
      <w:r>
        <w:t xml:space="preserve"> by </w:t>
      </w:r>
      <w:r w:rsidRPr="00721B53">
        <w:rPr>
          <w:highlight w:val="yellow"/>
        </w:rPr>
        <w:t>roles (e.g., all staff and governance body members)</w:t>
      </w:r>
      <w:r>
        <w:t>.</w:t>
      </w:r>
    </w:p>
    <w:p w14:paraId="385ACF69" w14:textId="3A7BBBE9" w:rsidR="0022039C" w:rsidRPr="00700CA9" w:rsidRDefault="008C7013" w:rsidP="005C78E8">
      <w:pPr>
        <w:pStyle w:val="Heading2"/>
      </w:pPr>
      <w:bookmarkStart w:id="8" w:name="_heading=h.oum1l8cjfsj2"/>
      <w:bookmarkEnd w:id="8"/>
      <w:r>
        <w:t xml:space="preserve">Incidents and </w:t>
      </w:r>
      <w:r w:rsidR="005C78E8">
        <w:t>M</w:t>
      </w:r>
      <w:r w:rsidR="0022039C" w:rsidRPr="00700CA9">
        <w:t>isconduct</w:t>
      </w:r>
    </w:p>
    <w:p w14:paraId="0ED3B475" w14:textId="05C4108F" w:rsidR="0022039C" w:rsidRPr="00700CA9" w:rsidRDefault="0022039C" w:rsidP="008C7013">
      <w:r w:rsidRPr="008C7013">
        <w:rPr>
          <w:highlight w:val="yellow"/>
        </w:rPr>
        <w:t>Organisation</w:t>
      </w:r>
      <w:r w:rsidRPr="00976A5F">
        <w:t xml:space="preserve"> </w:t>
      </w:r>
      <w:r w:rsidRPr="00700CA9">
        <w:t xml:space="preserve">fulfils our obligation to </w:t>
      </w:r>
      <w:r w:rsidR="00D37638">
        <w:t xml:space="preserve">identify, respond to and </w:t>
      </w:r>
      <w:r w:rsidRPr="00700CA9">
        <w:t xml:space="preserve">report </w:t>
      </w:r>
      <w:r w:rsidR="00D37638">
        <w:t xml:space="preserve">serious incidents and </w:t>
      </w:r>
      <w:r w:rsidRPr="00700CA9">
        <w:t>actual and alleged misconduct of our governance</w:t>
      </w:r>
      <w:r w:rsidR="00D37638">
        <w:t xml:space="preserve"> body members</w:t>
      </w:r>
      <w:r w:rsidRPr="00700CA9">
        <w:t xml:space="preserve">, </w:t>
      </w:r>
      <w:proofErr w:type="gramStart"/>
      <w:r w:rsidR="00D37638">
        <w:t>employees</w:t>
      </w:r>
      <w:proofErr w:type="gramEnd"/>
      <w:r w:rsidR="00D37638">
        <w:t xml:space="preserve"> </w:t>
      </w:r>
      <w:r w:rsidRPr="00700CA9">
        <w:t>and volunteers</w:t>
      </w:r>
      <w:r w:rsidR="00784290">
        <w:t xml:space="preserve">, in accordance with legal and professional standards, including the </w:t>
      </w:r>
      <w:r w:rsidR="00784290" w:rsidRPr="00784290">
        <w:t>Service</w:t>
      </w:r>
      <w:r w:rsidR="00784290">
        <w:t xml:space="preserve"> Agreement – Standard Terms </w:t>
      </w:r>
      <w:r w:rsidR="00784290" w:rsidRPr="00784290">
        <w:rPr>
          <w:highlight w:val="yellow"/>
        </w:rPr>
        <w:t>(remove if not applicable)</w:t>
      </w:r>
      <w:r w:rsidR="008C7013">
        <w:t>.</w:t>
      </w:r>
    </w:p>
    <w:p w14:paraId="76A9CEAC" w14:textId="5EDC309E" w:rsidR="00CA7277" w:rsidRDefault="00CA7277" w:rsidP="00670745">
      <w:pPr>
        <w:pStyle w:val="Bulletlist"/>
      </w:pPr>
      <w:r w:rsidRPr="00700CA9">
        <w:t>The</w:t>
      </w:r>
      <w:r>
        <w:t xml:space="preserve"> governance body </w:t>
      </w:r>
      <w:r w:rsidRPr="00700CA9">
        <w:t>is responsible for the compliance of the organisation</w:t>
      </w:r>
      <w:r>
        <w:t>’</w:t>
      </w:r>
      <w:r w:rsidRPr="00700CA9">
        <w:t>s</w:t>
      </w:r>
      <w:r>
        <w:t xml:space="preserve"> responses to incidents and misconduct with relevant legislation and standards.</w:t>
      </w:r>
    </w:p>
    <w:p w14:paraId="1B0AA1E9" w14:textId="5163580C" w:rsidR="007979C2" w:rsidRDefault="007979C2" w:rsidP="00670745">
      <w:pPr>
        <w:pStyle w:val="Bulletlist"/>
      </w:pPr>
      <w:r>
        <w:t>All employees and volunteers are responsible for identifying events that may constitute reportable incidents and/or misconduct and raising these with their line manager or a member of the governance body</w:t>
      </w:r>
      <w:r w:rsidR="00A53DF5">
        <w:t xml:space="preserve"> as soon as is practicable</w:t>
      </w:r>
      <w:r>
        <w:t>.</w:t>
      </w:r>
    </w:p>
    <w:p w14:paraId="7E33DEEA" w14:textId="7C419BE9" w:rsidR="007B4C7D" w:rsidRDefault="007B4C7D" w:rsidP="00670745">
      <w:pPr>
        <w:pStyle w:val="Bulletlist"/>
      </w:pPr>
      <w:r>
        <w:lastRenderedPageBreak/>
        <w:t xml:space="preserve">The Manager/CEO is responsible for reporting any reasonable allegation or suspicion of misconduct or dishonesty of a serious nature, including any relating to the </w:t>
      </w:r>
      <w:proofErr w:type="gramStart"/>
      <w:r>
        <w:t>mis-use</w:t>
      </w:r>
      <w:proofErr w:type="gramEnd"/>
      <w:r>
        <w:t xml:space="preserve"> of service funding, to the Chair/President and to the relevant funding body</w:t>
      </w:r>
      <w:r w:rsidR="00A53DF5">
        <w:t xml:space="preserve"> </w:t>
      </w:r>
      <w:r w:rsidR="00784290">
        <w:t>immediately</w:t>
      </w:r>
      <w:r>
        <w:t>.</w:t>
      </w:r>
    </w:p>
    <w:p w14:paraId="4C824B59" w14:textId="278E00A4" w:rsidR="00A53DF5" w:rsidRDefault="00A53DF5" w:rsidP="00670745">
      <w:pPr>
        <w:pStyle w:val="Bulletlist"/>
      </w:pPr>
      <w:r>
        <w:t xml:space="preserve">The </w:t>
      </w:r>
      <w:r w:rsidR="00EF3528">
        <w:t>Manager/CEO is responsible for reporting any serious incidents</w:t>
      </w:r>
      <w:r w:rsidR="00D613A2">
        <w:t xml:space="preserve"> to the Chair/President </w:t>
      </w:r>
      <w:r w:rsidR="003E3796">
        <w:t>as soon as practicable.</w:t>
      </w:r>
    </w:p>
    <w:p w14:paraId="6975BE25" w14:textId="188337FB" w:rsidR="003E3796" w:rsidRDefault="003E3796" w:rsidP="00670745">
      <w:pPr>
        <w:pStyle w:val="Bulletlist"/>
      </w:pPr>
      <w:r>
        <w:t xml:space="preserve">Where </w:t>
      </w:r>
      <w:r w:rsidR="00AE566B">
        <w:t xml:space="preserve">misconduct or </w:t>
      </w:r>
      <w:r>
        <w:t>a serious incident constitutes a crime or potentially criminal act, the Manager/CEO and Chair/President are responsible for reporting this to the relevant authority (usually the Queensland Police or Child Safety) and to the relevant funding body as soon as practicable.</w:t>
      </w:r>
    </w:p>
    <w:p w14:paraId="4B1B82C1" w14:textId="73CBCAAB" w:rsidR="00784AF9" w:rsidRDefault="00784AF9" w:rsidP="00670745">
      <w:pPr>
        <w:pStyle w:val="Bulletlist"/>
      </w:pPr>
      <w:r>
        <w:t xml:space="preserve">Other policies and procedures guiding responses to </w:t>
      </w:r>
      <w:proofErr w:type="gramStart"/>
      <w:r>
        <w:t>particular types</w:t>
      </w:r>
      <w:proofErr w:type="gramEnd"/>
      <w:r>
        <w:t xml:space="preserve"> of incidents and misconduct are the </w:t>
      </w:r>
      <w:r w:rsidRPr="0075487D">
        <w:rPr>
          <w:highlight w:val="yellow"/>
        </w:rPr>
        <w:t>(refer to relevant policies and procedures</w:t>
      </w:r>
      <w:r>
        <w:rPr>
          <w:highlight w:val="yellow"/>
        </w:rPr>
        <w:t xml:space="preserve">, e.g., Child Safety Policy and Procedures, </w:t>
      </w:r>
      <w:r w:rsidR="00164001">
        <w:rPr>
          <w:highlight w:val="yellow"/>
        </w:rPr>
        <w:t xml:space="preserve">Financial Management Policy and Procedures, </w:t>
      </w:r>
      <w:r>
        <w:rPr>
          <w:highlight w:val="yellow"/>
        </w:rPr>
        <w:t>Risk Management Policy and Procedures</w:t>
      </w:r>
      <w:r w:rsidRPr="0075487D">
        <w:rPr>
          <w:highlight w:val="yellow"/>
        </w:rPr>
        <w:t>)</w:t>
      </w:r>
      <w:r>
        <w:t>.</w:t>
      </w:r>
    </w:p>
    <w:p w14:paraId="38DA79F0" w14:textId="5B52EC08" w:rsidR="0022039C" w:rsidRPr="00700CA9" w:rsidRDefault="0022039C" w:rsidP="003D030A">
      <w:pPr>
        <w:pStyle w:val="Heading2"/>
      </w:pPr>
      <w:r w:rsidRPr="00700CA9">
        <w:t xml:space="preserve">Notification of </w:t>
      </w:r>
      <w:r w:rsidR="005C78E8">
        <w:t>R</w:t>
      </w:r>
      <w:r w:rsidRPr="00700CA9">
        <w:t xml:space="preserve">eportable </w:t>
      </w:r>
      <w:r w:rsidR="005C78E8">
        <w:t>I</w:t>
      </w:r>
      <w:r w:rsidRPr="00700CA9">
        <w:t>ncidents</w:t>
      </w:r>
    </w:p>
    <w:p w14:paraId="3084BE89" w14:textId="502463FE" w:rsidR="0022039C" w:rsidRPr="00700CA9" w:rsidRDefault="0022039C" w:rsidP="001661E0">
      <w:r w:rsidRPr="00700CA9">
        <w:t xml:space="preserve">As an organisation that receives funding from the Queensland Government, we are obligated by the </w:t>
      </w:r>
      <w:r w:rsidRPr="001661E0">
        <w:rPr>
          <w:i/>
        </w:rPr>
        <w:t>Service Agreement – Standard Terms</w:t>
      </w:r>
      <w:r w:rsidRPr="00700CA9">
        <w:t xml:space="preserve"> to report </w:t>
      </w:r>
      <w:r w:rsidR="001661E0">
        <w:t xml:space="preserve">major </w:t>
      </w:r>
      <w:r w:rsidRPr="00700CA9">
        <w:t xml:space="preserve">incidents to the </w:t>
      </w:r>
      <w:r w:rsidR="001661E0" w:rsidRPr="001661E0">
        <w:rPr>
          <w:highlight w:val="yellow"/>
        </w:rPr>
        <w:t>funding department name</w:t>
      </w:r>
      <w:r w:rsidR="001661E0">
        <w:t>.</w:t>
      </w:r>
      <w:r w:rsidRPr="00700CA9">
        <w:t xml:space="preserve"> </w:t>
      </w:r>
    </w:p>
    <w:p w14:paraId="6F8E5925" w14:textId="75DA7B17" w:rsidR="0022039C" w:rsidRPr="00700CA9" w:rsidRDefault="001661E0" w:rsidP="00670745">
      <w:pPr>
        <w:pStyle w:val="Bulletlist"/>
      </w:pPr>
      <w:r>
        <w:t>The Manager/CEO and/or Chair/President must notify the department within one business day upon becoming aware of</w:t>
      </w:r>
      <w:r w:rsidR="0022039C" w:rsidRPr="00700CA9">
        <w:t>:</w:t>
      </w:r>
      <w:r w:rsidR="0060647B" w:rsidRPr="0060647B">
        <w:rPr>
          <w:rStyle w:val="FootnoteReference"/>
        </w:rPr>
        <w:t xml:space="preserve"> </w:t>
      </w:r>
      <w:r w:rsidR="0060647B">
        <w:rPr>
          <w:rStyle w:val="FootnoteReference"/>
        </w:rPr>
        <w:footnoteReference w:id="7"/>
      </w:r>
    </w:p>
    <w:p w14:paraId="42FED64E" w14:textId="76B58940" w:rsidR="0022039C" w:rsidRDefault="00B07348" w:rsidP="00670745">
      <w:pPr>
        <w:pStyle w:val="ListParagraph"/>
        <w:numPr>
          <w:ilvl w:val="1"/>
          <w:numId w:val="7"/>
        </w:numPr>
        <w:ind w:left="993"/>
      </w:pPr>
      <w:r>
        <w:t xml:space="preserve">any incident affecting or likely to affect delivery of services under the funding </w:t>
      </w:r>
      <w:proofErr w:type="gramStart"/>
      <w:r>
        <w:t>agreement</w:t>
      </w:r>
      <w:r w:rsidR="00C12884">
        <w:t>;</w:t>
      </w:r>
      <w:proofErr w:type="gramEnd"/>
    </w:p>
    <w:p w14:paraId="4FCAB4BB" w14:textId="7C9AE5A9" w:rsidR="0022039C" w:rsidRDefault="00C12884" w:rsidP="00670745">
      <w:pPr>
        <w:pStyle w:val="ListParagraph"/>
        <w:numPr>
          <w:ilvl w:val="1"/>
          <w:numId w:val="7"/>
        </w:numPr>
        <w:ind w:left="993"/>
      </w:pPr>
      <w:r>
        <w:t xml:space="preserve">any incident requiring an emergency response, </w:t>
      </w:r>
      <w:r w:rsidR="00B207BD">
        <w:t xml:space="preserve">actual or threat of serious injury or death, or criminal </w:t>
      </w:r>
      <w:proofErr w:type="gramStart"/>
      <w:r w:rsidR="00B207BD">
        <w:t>activity;</w:t>
      </w:r>
      <w:proofErr w:type="gramEnd"/>
    </w:p>
    <w:p w14:paraId="348F2DA4" w14:textId="7D3301EE" w:rsidR="00B207BD" w:rsidRDefault="00B207BD" w:rsidP="00670745">
      <w:pPr>
        <w:pStyle w:val="ListParagraph"/>
        <w:numPr>
          <w:ilvl w:val="1"/>
          <w:numId w:val="7"/>
        </w:numPr>
        <w:ind w:left="993"/>
      </w:pPr>
      <w:r>
        <w:t>an incident relating to a person subject to intervention by the department; or</w:t>
      </w:r>
    </w:p>
    <w:p w14:paraId="665DAA16" w14:textId="6EB9CDE6" w:rsidR="00B207BD" w:rsidRPr="00700CA9" w:rsidRDefault="00ED48D3" w:rsidP="00670745">
      <w:pPr>
        <w:pStyle w:val="ListParagraph"/>
        <w:numPr>
          <w:ilvl w:val="1"/>
          <w:numId w:val="7"/>
        </w:numPr>
        <w:ind w:left="993"/>
      </w:pPr>
      <w:r>
        <w:t>where significant media attention has occurred or is likely to occur.</w:t>
      </w:r>
    </w:p>
    <w:p w14:paraId="24F4BFE9" w14:textId="484F0969" w:rsidR="0022039C" w:rsidRDefault="001E63E9" w:rsidP="00670745">
      <w:pPr>
        <w:pStyle w:val="Bulletlist"/>
      </w:pPr>
      <w:r>
        <w:t>Such reports must be made by the Manager/CEO and/or President/Chair directly to the relevant department representative or using the form/process required by the department for the specific incident type.</w:t>
      </w:r>
    </w:p>
    <w:p w14:paraId="171C6628" w14:textId="77777777" w:rsidR="0022039C" w:rsidRPr="00700CA9" w:rsidRDefault="0022039C" w:rsidP="003D030A">
      <w:pPr>
        <w:pStyle w:val="Heading1"/>
        <w:rPr>
          <w:rFonts w:eastAsia="Muli"/>
        </w:rPr>
      </w:pPr>
      <w:bookmarkStart w:id="9" w:name="_heading=h.wwjdvcwzq8pt"/>
      <w:bookmarkEnd w:id="9"/>
      <w:r w:rsidRPr="00700CA9">
        <w:rPr>
          <w:rFonts w:eastAsia="Muli"/>
        </w:rPr>
        <w:t xml:space="preserve">Related Policies and Procedures </w:t>
      </w:r>
    </w:p>
    <w:p w14:paraId="10CBD825" w14:textId="4A943BF8" w:rsidR="0022039C" w:rsidRPr="00700CA9" w:rsidRDefault="00164001" w:rsidP="00164001">
      <w:bookmarkStart w:id="10" w:name="_heading=h.xe7cba1wmjkt"/>
      <w:bookmarkEnd w:id="10"/>
      <w:r w:rsidRPr="000A2E04">
        <w:rPr>
          <w:highlight w:val="green"/>
        </w:rPr>
        <w:t xml:space="preserve">List all relevant/related policies and procedures, including any </w:t>
      </w:r>
      <w:r w:rsidR="000A2E04" w:rsidRPr="000A2E04">
        <w:rPr>
          <w:highlight w:val="green"/>
        </w:rPr>
        <w:t xml:space="preserve">that discuss </w:t>
      </w:r>
      <w:proofErr w:type="gramStart"/>
      <w:r w:rsidR="000A2E04" w:rsidRPr="000A2E04">
        <w:rPr>
          <w:highlight w:val="green"/>
        </w:rPr>
        <w:t>particular governance</w:t>
      </w:r>
      <w:proofErr w:type="gramEnd"/>
      <w:r w:rsidR="000A2E04" w:rsidRPr="000A2E04">
        <w:rPr>
          <w:highlight w:val="green"/>
        </w:rPr>
        <w:t xml:space="preserve"> responsibilities and all those </w:t>
      </w:r>
      <w:r w:rsidRPr="000A2E04">
        <w:rPr>
          <w:highlight w:val="green"/>
        </w:rPr>
        <w:t xml:space="preserve">referred to </w:t>
      </w:r>
      <w:r w:rsidR="000A2E04" w:rsidRPr="000A2E04">
        <w:rPr>
          <w:highlight w:val="green"/>
        </w:rPr>
        <w:t>in the body of this document.</w:t>
      </w:r>
      <w:r w:rsidR="0022039C" w:rsidRPr="00700CA9">
        <w:t xml:space="preserve"> </w:t>
      </w:r>
    </w:p>
    <w:p w14:paraId="772FAD79" w14:textId="77777777" w:rsidR="0022039C" w:rsidRPr="00700CA9" w:rsidRDefault="0022039C" w:rsidP="003D030A">
      <w:pPr>
        <w:pStyle w:val="Heading1"/>
        <w:rPr>
          <w:rFonts w:eastAsia="Muli"/>
        </w:rPr>
      </w:pPr>
      <w:r w:rsidRPr="00700CA9">
        <w:rPr>
          <w:rFonts w:eastAsia="Muli"/>
        </w:rPr>
        <w:t xml:space="preserve">Supporting Documents </w:t>
      </w:r>
    </w:p>
    <w:p w14:paraId="6E038C29" w14:textId="3793FF48" w:rsidR="0022039C" w:rsidRPr="00700CA9" w:rsidRDefault="000A2E04" w:rsidP="003D030A">
      <w:r w:rsidRPr="000A2E04">
        <w:rPr>
          <w:highlight w:val="green"/>
        </w:rPr>
        <w:t xml:space="preserve">List all relevant/related </w:t>
      </w:r>
      <w:r>
        <w:rPr>
          <w:highlight w:val="green"/>
        </w:rPr>
        <w:t xml:space="preserve">documents that are not </w:t>
      </w:r>
      <w:r w:rsidRPr="000A2E04">
        <w:rPr>
          <w:highlight w:val="green"/>
        </w:rPr>
        <w:t xml:space="preserve">policies and procedures, including </w:t>
      </w:r>
      <w:r>
        <w:rPr>
          <w:highlight w:val="green"/>
        </w:rPr>
        <w:t>registers, agreements, and guidelines and all supporting documents referred to in the body of this document.</w:t>
      </w:r>
    </w:p>
    <w:p w14:paraId="1924ECB8" w14:textId="77777777" w:rsidR="0022039C" w:rsidRPr="00700CA9" w:rsidRDefault="0022039C" w:rsidP="003D030A">
      <w:pPr>
        <w:pStyle w:val="Heading1"/>
        <w:rPr>
          <w:rFonts w:eastAsia="Muli"/>
        </w:rPr>
      </w:pPr>
      <w:r w:rsidRPr="00700CA9">
        <w:rPr>
          <w:rFonts w:eastAsia="Muli"/>
        </w:rPr>
        <w:t>Review</w:t>
      </w:r>
    </w:p>
    <w:p w14:paraId="389A1102" w14:textId="628C4731" w:rsidR="0022039C" w:rsidRDefault="0022039C" w:rsidP="003D030A">
      <w:r w:rsidRPr="00700CA9">
        <w:t xml:space="preserve">This document was last reviewed on </w:t>
      </w:r>
      <w:r w:rsidRPr="00700CA9">
        <w:rPr>
          <w:highlight w:val="yellow"/>
        </w:rPr>
        <w:t>date</w:t>
      </w:r>
      <w:r w:rsidRPr="00700CA9">
        <w:t>.</w:t>
      </w:r>
    </w:p>
    <w:p w14:paraId="4C998BCA" w14:textId="510A1082" w:rsidR="004E0AC0" w:rsidRPr="008A5AFC" w:rsidRDefault="000A2E04" w:rsidP="003D030A">
      <w:pPr>
        <w:rPr>
          <w:sz w:val="24"/>
          <w:szCs w:val="24"/>
        </w:rPr>
      </w:pPr>
      <w:r>
        <w:t xml:space="preserve">This document will be reviewed by </w:t>
      </w:r>
      <w:r w:rsidRPr="000A2E04">
        <w:rPr>
          <w:highlight w:val="yellow"/>
        </w:rPr>
        <w:t>date</w:t>
      </w:r>
      <w:r>
        <w:t>.</w:t>
      </w:r>
    </w:p>
    <w:sectPr w:rsidR="004E0AC0" w:rsidRPr="008A5AFC" w:rsidSect="00996940">
      <w:headerReference w:type="even" r:id="rId78"/>
      <w:headerReference w:type="default" r:id="rId79"/>
      <w:footerReference w:type="even" r:id="rId80"/>
      <w:footerReference w:type="default" r:id="rId81"/>
      <w:headerReference w:type="first" r:id="rId82"/>
      <w:footerReference w:type="first" r:id="rId83"/>
      <w:pgSz w:w="11906" w:h="16838"/>
      <w:pgMar w:top="1440" w:right="1080" w:bottom="1440" w:left="1080" w:header="708" w:footer="5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45037" w14:textId="77777777" w:rsidR="00180346" w:rsidRPr="00700CA9" w:rsidRDefault="00180346" w:rsidP="00F916BB">
      <w:r w:rsidRPr="00700CA9">
        <w:separator/>
      </w:r>
    </w:p>
  </w:endnote>
  <w:endnote w:type="continuationSeparator" w:id="0">
    <w:p w14:paraId="4793E6F2" w14:textId="77777777" w:rsidR="00180346" w:rsidRPr="00700CA9" w:rsidRDefault="00180346" w:rsidP="00F916BB">
      <w:r w:rsidRPr="00700CA9">
        <w:continuationSeparator/>
      </w:r>
    </w:p>
  </w:endnote>
  <w:endnote w:type="continuationNotice" w:id="1">
    <w:p w14:paraId="43C42238" w14:textId="77777777" w:rsidR="00180346" w:rsidRDefault="001803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li">
    <w:altName w:val="Calibri"/>
    <w:panose1 w:val="000008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379B9" w14:textId="77777777" w:rsidR="002E341D" w:rsidRDefault="002E3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4561285"/>
      <w:docPartObj>
        <w:docPartGallery w:val="Page Numbers (Bottom of Page)"/>
        <w:docPartUnique/>
      </w:docPartObj>
    </w:sdtPr>
    <w:sdtEndPr/>
    <w:sdtContent>
      <w:p w14:paraId="6348BE38" w14:textId="77777777" w:rsidR="006647AA" w:rsidRPr="00700CA9" w:rsidRDefault="006647AA" w:rsidP="00F916BB">
        <w:pPr>
          <w:pStyle w:val="Footer"/>
        </w:pPr>
        <w:r w:rsidRPr="00700CA9">
          <w:fldChar w:fldCharType="begin"/>
        </w:r>
        <w:r w:rsidRPr="00700CA9">
          <w:instrText xml:space="preserve"> PAGE   \* MERGEFORMAT </w:instrText>
        </w:r>
        <w:r w:rsidRPr="00700CA9">
          <w:fldChar w:fldCharType="separate"/>
        </w:r>
        <w:r w:rsidRPr="00700CA9">
          <w:t>2</w:t>
        </w:r>
        <w:r w:rsidRPr="00700CA9">
          <w:fldChar w:fldCharType="end"/>
        </w:r>
      </w:p>
    </w:sdtContent>
  </w:sdt>
  <w:p w14:paraId="78B66632" w14:textId="77777777" w:rsidR="006647AA" w:rsidRPr="00700CA9" w:rsidRDefault="006647AA" w:rsidP="00F91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72715" w14:textId="77777777" w:rsidR="002E341D" w:rsidRDefault="002E3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583C0" w14:textId="77777777" w:rsidR="00180346" w:rsidRPr="00700CA9" w:rsidRDefault="00180346" w:rsidP="00F916BB">
      <w:r w:rsidRPr="00700CA9">
        <w:separator/>
      </w:r>
    </w:p>
  </w:footnote>
  <w:footnote w:type="continuationSeparator" w:id="0">
    <w:p w14:paraId="0F12984C" w14:textId="77777777" w:rsidR="00180346" w:rsidRPr="00700CA9" w:rsidRDefault="00180346" w:rsidP="00F916BB">
      <w:r w:rsidRPr="00700CA9">
        <w:continuationSeparator/>
      </w:r>
    </w:p>
  </w:footnote>
  <w:footnote w:type="continuationNotice" w:id="1">
    <w:p w14:paraId="7DAA150F" w14:textId="77777777" w:rsidR="00180346" w:rsidRDefault="00180346">
      <w:pPr>
        <w:spacing w:before="0" w:after="0" w:line="240" w:lineRule="auto"/>
      </w:pPr>
    </w:p>
  </w:footnote>
  <w:footnote w:id="2">
    <w:p w14:paraId="49D8C234" w14:textId="48074F70" w:rsidR="006C47BE" w:rsidRPr="00E247FF" w:rsidRDefault="006C47BE" w:rsidP="00F916BB">
      <w:pPr>
        <w:rPr>
          <w:rFonts w:eastAsia="Times New Roman"/>
          <w:color w:val="424242"/>
          <w:sz w:val="18"/>
          <w:szCs w:val="18"/>
        </w:rPr>
      </w:pPr>
      <w:r w:rsidRPr="00E247FF">
        <w:rPr>
          <w:rStyle w:val="FootnoteReference"/>
          <w:sz w:val="18"/>
          <w:szCs w:val="18"/>
        </w:rPr>
        <w:footnoteRef/>
      </w:r>
      <w:r w:rsidRPr="00E247FF">
        <w:rPr>
          <w:sz w:val="18"/>
          <w:szCs w:val="18"/>
        </w:rPr>
        <w:t xml:space="preserve"> At time of writing, the current Quality Framework is V9.0. For the latest version of the Quality Framework and associated User Guides, contact Department of Child Safety, Seniors and Disability Services 1800 034 022, </w:t>
      </w:r>
      <w:hyperlink r:id="rId1" w:history="1">
        <w:r w:rsidRPr="00E247FF">
          <w:rPr>
            <w:rFonts w:eastAsia="Times New Roman"/>
            <w:color w:val="2D7E7D" w:themeColor="accent6" w:themeShade="BF"/>
            <w:sz w:val="18"/>
            <w:szCs w:val="18"/>
            <w:u w:val="single"/>
            <w:bdr w:val="none" w:sz="0" w:space="0" w:color="auto" w:frame="1"/>
          </w:rPr>
          <w:t>hsqf@qld.gov.au</w:t>
        </w:r>
      </w:hyperlink>
      <w:r w:rsidRPr="00E247FF">
        <w:rPr>
          <w:rFonts w:eastAsia="Times New Roman"/>
          <w:color w:val="424242"/>
          <w:sz w:val="18"/>
          <w:szCs w:val="18"/>
          <w:bdr w:val="none" w:sz="0" w:space="0" w:color="auto" w:frame="1"/>
        </w:rPr>
        <w:t xml:space="preserve"> or </w:t>
      </w:r>
      <w:hyperlink r:id="rId2" w:tgtFrame="_blank" w:history="1">
        <w:r w:rsidRPr="00E247FF">
          <w:rPr>
            <w:rFonts w:eastAsia="Times New Roman"/>
            <w:color w:val="2D7E7D" w:themeColor="accent6" w:themeShade="BF"/>
            <w:sz w:val="18"/>
            <w:szCs w:val="18"/>
            <w:u w:val="single"/>
            <w:bdr w:val="none" w:sz="0" w:space="0" w:color="auto" w:frame="1"/>
          </w:rPr>
          <w:t>www.dcssds.qld.gov.au/our-work/human-services-quality-framework</w:t>
        </w:r>
      </w:hyperlink>
      <w:r w:rsidRPr="00E247FF">
        <w:rPr>
          <w:rFonts w:eastAsia="Times New Roman"/>
          <w:color w:val="424242"/>
          <w:sz w:val="18"/>
          <w:szCs w:val="18"/>
          <w:bdr w:val="none" w:sz="0" w:space="0" w:color="auto" w:frame="1"/>
        </w:rPr>
        <w:t>.</w:t>
      </w:r>
    </w:p>
    <w:p w14:paraId="1B9F2B78" w14:textId="77777777" w:rsidR="006C47BE" w:rsidRPr="00700CA9" w:rsidRDefault="006C47BE" w:rsidP="00F916BB">
      <w:pPr>
        <w:pStyle w:val="FootnoteText"/>
      </w:pPr>
    </w:p>
  </w:footnote>
  <w:footnote w:id="3">
    <w:p w14:paraId="4CB5F050" w14:textId="2BCC3F2B" w:rsidR="00F510BD" w:rsidRPr="00B863DB" w:rsidRDefault="00F510BD" w:rsidP="00F916BB">
      <w:pPr>
        <w:pStyle w:val="FootnoteText"/>
        <w:rPr>
          <w:sz w:val="18"/>
          <w:szCs w:val="18"/>
        </w:rPr>
      </w:pPr>
      <w:r w:rsidRPr="00B863DB">
        <w:rPr>
          <w:rStyle w:val="FootnoteReference"/>
          <w:sz w:val="18"/>
          <w:szCs w:val="18"/>
        </w:rPr>
        <w:footnoteRef/>
      </w:r>
      <w:r w:rsidRPr="00B863DB">
        <w:rPr>
          <w:sz w:val="18"/>
          <w:szCs w:val="18"/>
        </w:rPr>
        <w:t xml:space="preserve"> Depending on service types provided, additional DCCSDS </w:t>
      </w:r>
      <w:r w:rsidR="00822C56" w:rsidRPr="00B863DB">
        <w:rPr>
          <w:sz w:val="18"/>
          <w:szCs w:val="18"/>
        </w:rPr>
        <w:t xml:space="preserve">policies may apply. See </w:t>
      </w:r>
      <w:r w:rsidRPr="00B863DB">
        <w:rPr>
          <w:sz w:val="18"/>
          <w:szCs w:val="18"/>
        </w:rPr>
        <w:t>program descriptions and Child Safety Practice Manual</w:t>
      </w:r>
      <w:r w:rsidR="00822C56" w:rsidRPr="00B863DB">
        <w:rPr>
          <w:sz w:val="18"/>
          <w:szCs w:val="18"/>
        </w:rPr>
        <w:t xml:space="preserve"> for guidance on additional inclusions</w:t>
      </w:r>
      <w:r w:rsidRPr="00B863DB">
        <w:rPr>
          <w:sz w:val="18"/>
          <w:szCs w:val="18"/>
        </w:rPr>
        <w:t>.</w:t>
      </w:r>
    </w:p>
  </w:footnote>
  <w:footnote w:id="4">
    <w:p w14:paraId="5BE7791E" w14:textId="51D6D60B" w:rsidR="00076004" w:rsidRPr="00700CA9" w:rsidRDefault="00076004" w:rsidP="00F916BB">
      <w:pPr>
        <w:pStyle w:val="FootnoteText"/>
      </w:pPr>
      <w:r w:rsidRPr="00B863DB">
        <w:rPr>
          <w:rStyle w:val="FootnoteReference"/>
          <w:sz w:val="18"/>
          <w:szCs w:val="18"/>
        </w:rPr>
        <w:footnoteRef/>
      </w:r>
      <w:r w:rsidRPr="00B863DB">
        <w:rPr>
          <w:sz w:val="18"/>
          <w:szCs w:val="18"/>
        </w:rPr>
        <w:t xml:space="preserve"> If appropriate to service type(s) provided, include Family and Child Connect (FACC) Service Model and Guidelines, the Intensive Family Support (IFS) Service Model and Guidelines</w:t>
      </w:r>
      <w:r w:rsidR="00333697" w:rsidRPr="00B863DB">
        <w:rPr>
          <w:sz w:val="18"/>
          <w:szCs w:val="18"/>
        </w:rPr>
        <w:t>,</w:t>
      </w:r>
      <w:r w:rsidRPr="00B863DB">
        <w:rPr>
          <w:sz w:val="18"/>
          <w:szCs w:val="18"/>
        </w:rPr>
        <w:t xml:space="preserve"> and</w:t>
      </w:r>
      <w:r w:rsidR="00333697" w:rsidRPr="00B863DB">
        <w:rPr>
          <w:sz w:val="18"/>
          <w:szCs w:val="18"/>
        </w:rPr>
        <w:t>/or</w:t>
      </w:r>
      <w:r w:rsidRPr="00B863DB">
        <w:rPr>
          <w:sz w:val="18"/>
          <w:szCs w:val="18"/>
        </w:rPr>
        <w:t xml:space="preserve"> the Assessment and Service Connect Operational Policy Guidelines</w:t>
      </w:r>
      <w:r w:rsidR="00333697" w:rsidRPr="00B863DB">
        <w:rPr>
          <w:sz w:val="18"/>
          <w:szCs w:val="18"/>
        </w:rPr>
        <w:t>.</w:t>
      </w:r>
    </w:p>
  </w:footnote>
  <w:footnote w:id="5">
    <w:p w14:paraId="0AD5B816" w14:textId="44BF19E1" w:rsidR="00AB4A96" w:rsidRPr="00B863DB" w:rsidRDefault="00AB4A96" w:rsidP="00F916BB">
      <w:pPr>
        <w:pStyle w:val="FootnoteText"/>
        <w:rPr>
          <w:sz w:val="18"/>
          <w:szCs w:val="18"/>
          <w:lang w:val="en-GB"/>
        </w:rPr>
      </w:pPr>
      <w:r w:rsidRPr="00B863DB">
        <w:rPr>
          <w:rStyle w:val="FootnoteReference"/>
          <w:sz w:val="18"/>
          <w:szCs w:val="18"/>
        </w:rPr>
        <w:footnoteRef/>
      </w:r>
      <w:r w:rsidRPr="00B863DB">
        <w:rPr>
          <w:sz w:val="18"/>
          <w:szCs w:val="18"/>
        </w:rPr>
        <w:t xml:space="preserve"> There is a requirement that </w:t>
      </w:r>
      <w:r w:rsidR="001365DA" w:rsidRPr="00B863DB">
        <w:rPr>
          <w:sz w:val="18"/>
          <w:szCs w:val="18"/>
        </w:rPr>
        <w:t xml:space="preserve">the governance framework and management practices of organisations providing </w:t>
      </w:r>
      <w:r w:rsidRPr="00B863DB">
        <w:rPr>
          <w:sz w:val="18"/>
          <w:szCs w:val="18"/>
        </w:rPr>
        <w:t xml:space="preserve">mental health services </w:t>
      </w:r>
      <w:r w:rsidR="001365DA" w:rsidRPr="00B863DB">
        <w:rPr>
          <w:sz w:val="18"/>
          <w:szCs w:val="18"/>
        </w:rPr>
        <w:t>uphold recovery-oriented principles, but no specific recovery-oriented practice standards are specified as of March 2024.</w:t>
      </w:r>
    </w:p>
  </w:footnote>
  <w:footnote w:id="6">
    <w:p w14:paraId="4614F7DB" w14:textId="62DF8D10" w:rsidR="00405CEF" w:rsidRPr="001F5D67" w:rsidRDefault="00654A06" w:rsidP="00405CEF">
      <w:pPr>
        <w:pStyle w:val="Table"/>
        <w:spacing w:before="60" w:after="60"/>
      </w:pPr>
      <w:r>
        <w:rPr>
          <w:rStyle w:val="FootnoteReference"/>
        </w:rPr>
        <w:footnoteRef/>
      </w:r>
      <w:r>
        <w:t xml:space="preserve"> </w:t>
      </w:r>
      <w:r w:rsidR="00405CEF">
        <w:t xml:space="preserve">The </w:t>
      </w:r>
      <w:hyperlink r:id="rId3" w:history="1">
        <w:r w:rsidR="00405CEF" w:rsidRPr="00EF2DBE">
          <w:rPr>
            <w:rStyle w:val="Hyperlink"/>
            <w:i/>
            <w:iCs/>
            <w:color w:val="2D7E7D" w:themeColor="accent6" w:themeShade="BF"/>
          </w:rPr>
          <w:t>Criminal Code Act 1899</w:t>
        </w:r>
      </w:hyperlink>
      <w:r w:rsidR="00405CEF">
        <w:t xml:space="preserve"> (Section 229BC </w:t>
      </w:r>
      <w:r w:rsidR="00405CEF" w:rsidRPr="0085691D">
        <w:t>Failure to report belief of child sexual offence committed in relation to child</w:t>
      </w:r>
      <w:r w:rsidR="00405CEF">
        <w:t xml:space="preserve">) requires all adults to report </w:t>
      </w:r>
      <w:r w:rsidR="00621399">
        <w:t xml:space="preserve">any sexual offence against a child, or reasonable belief thereof, </w:t>
      </w:r>
      <w:r w:rsidR="0071056D">
        <w:t xml:space="preserve">unless a reasonable excuse applies. See the </w:t>
      </w:r>
      <w:hyperlink r:id="rId4" w:history="1">
        <w:r w:rsidR="0071056D" w:rsidRPr="00D31E30">
          <w:rPr>
            <w:rStyle w:val="Hyperlink"/>
            <w:color w:val="2D7E7D" w:themeColor="accent6" w:themeShade="BF"/>
          </w:rPr>
          <w:t>Queensland Government’s guidance</w:t>
        </w:r>
      </w:hyperlink>
      <w:r w:rsidR="0071056D">
        <w:t xml:space="preserve"> for further detail. Note that this is </w:t>
      </w:r>
      <w:r w:rsidR="0071056D" w:rsidRPr="00D31E30">
        <w:rPr>
          <w:b/>
          <w:bCs/>
          <w:u w:val="single"/>
        </w:rPr>
        <w:t>not</w:t>
      </w:r>
      <w:r w:rsidR="0071056D">
        <w:t xml:space="preserve"> mandatory reporting legislation (which is in the </w:t>
      </w:r>
      <w:r w:rsidR="001F5D67">
        <w:rPr>
          <w:i/>
          <w:iCs/>
        </w:rPr>
        <w:t>Child Protection Act</w:t>
      </w:r>
      <w:r w:rsidR="001F5D67">
        <w:t>)</w:t>
      </w:r>
      <w:r w:rsidR="00D31E30">
        <w:t xml:space="preserve"> nor limited to particular professions,</w:t>
      </w:r>
      <w:r w:rsidR="001F5D67">
        <w:t xml:space="preserve"> but is a crime for which </w:t>
      </w:r>
      <w:proofErr w:type="gramStart"/>
      <w:r w:rsidR="001F5D67">
        <w:t xml:space="preserve">the </w:t>
      </w:r>
      <w:r w:rsidR="00D31E30">
        <w:t>each</w:t>
      </w:r>
      <w:proofErr w:type="gramEnd"/>
      <w:r w:rsidR="00D31E30">
        <w:t xml:space="preserve"> </w:t>
      </w:r>
      <w:r w:rsidR="001F5D67">
        <w:t xml:space="preserve">individual </w:t>
      </w:r>
      <w:r w:rsidR="00D31E30">
        <w:t xml:space="preserve">with knowledge/reasonable belief </w:t>
      </w:r>
      <w:r w:rsidR="001F5D67">
        <w:t>is responsible.</w:t>
      </w:r>
    </w:p>
    <w:p w14:paraId="23633B84" w14:textId="40A345F6" w:rsidR="00654A06" w:rsidRDefault="00654A06">
      <w:pPr>
        <w:pStyle w:val="FootnoteText"/>
      </w:pPr>
    </w:p>
  </w:footnote>
  <w:footnote w:id="7">
    <w:p w14:paraId="015A0766" w14:textId="77777777" w:rsidR="0060647B" w:rsidRDefault="0060647B" w:rsidP="0060647B">
      <w:pPr>
        <w:pStyle w:val="FootnoteText"/>
      </w:pPr>
      <w:r>
        <w:rPr>
          <w:rStyle w:val="FootnoteReference"/>
        </w:rPr>
        <w:footnoteRef/>
      </w:r>
      <w:r>
        <w:t xml:space="preserve"> The inclusions here accord with section 4.5 of the Service Agreement – Standard Terms. Adapt/add to this list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51149" w14:textId="77777777" w:rsidR="006647AA" w:rsidRPr="00700CA9" w:rsidRDefault="009E1774" w:rsidP="00F916BB">
    <w:pPr>
      <w:pStyle w:val="Header"/>
    </w:pPr>
    <w:r>
      <w:rPr>
        <w:noProof/>
      </w:rPr>
      <w:pict w14:anchorId="24784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3" o:spid="_x0000_s1025" type="#_x0000_t75" alt=""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qcos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BF8DD" w14:textId="14A918E6" w:rsidR="006647AA" w:rsidRPr="00700CA9" w:rsidRDefault="007A1D7B" w:rsidP="00F916BB">
    <w:pPr>
      <w:pStyle w:val="Header"/>
    </w:pPr>
    <w:r w:rsidRPr="00700CA9">
      <w:rPr>
        <w:noProof/>
      </w:rPr>
      <w:drawing>
        <wp:anchor distT="0" distB="0" distL="114300" distR="114300" simplePos="0" relativeHeight="251657728" behindDoc="1" locked="0" layoutInCell="1" allowOverlap="1" wp14:anchorId="362CFE01" wp14:editId="7F3E493C">
          <wp:simplePos x="0" y="0"/>
          <wp:positionH relativeFrom="page">
            <wp:align>right</wp:align>
          </wp:positionH>
          <wp:positionV relativeFrom="paragraph">
            <wp:posOffset>-436570</wp:posOffset>
          </wp:positionV>
          <wp:extent cx="7547212" cy="10671879"/>
          <wp:effectExtent l="0" t="0" r="0" b="0"/>
          <wp:wrapNone/>
          <wp:docPr id="1" name="Picture 1" descr="Header: QCOSS logo&#10;Footer: Thin QCOSS brand colour bars - Gold, aqua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 QCOSS logo&#10;Footer: Thin QCOSS brand colour bars - Gold, aqua and orange"/>
                  <pic:cNvPicPr/>
                </pic:nvPicPr>
                <pic:blipFill>
                  <a:blip r:embed="rId1">
                    <a:extLst>
                      <a:ext uri="{28A0092B-C50C-407E-A947-70E740481C1C}">
                        <a14:useLocalDpi xmlns:a14="http://schemas.microsoft.com/office/drawing/2010/main" val="0"/>
                      </a:ext>
                    </a:extLst>
                  </a:blip>
                  <a:stretch>
                    <a:fillRect/>
                  </a:stretch>
                </pic:blipFill>
                <pic:spPr>
                  <a:xfrm>
                    <a:off x="0" y="0"/>
                    <a:ext cx="7547212" cy="106718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79324" w14:textId="6D208EB2" w:rsidR="006647AA" w:rsidRPr="00700CA9" w:rsidRDefault="007A1D7B" w:rsidP="00F916BB">
    <w:pPr>
      <w:pStyle w:val="Header"/>
    </w:pPr>
    <w:r w:rsidRPr="00700CA9">
      <w:rPr>
        <w:noProof/>
      </w:rPr>
      <w:drawing>
        <wp:anchor distT="0" distB="0" distL="114300" distR="114300" simplePos="0" relativeHeight="251656704" behindDoc="1" locked="0" layoutInCell="1" allowOverlap="1" wp14:anchorId="3EBD164C" wp14:editId="4F525F38">
          <wp:simplePos x="0" y="0"/>
          <wp:positionH relativeFrom="page">
            <wp:align>left</wp:align>
          </wp:positionH>
          <wp:positionV relativeFrom="paragraph">
            <wp:posOffset>-436570</wp:posOffset>
          </wp:positionV>
          <wp:extent cx="7547212" cy="10671879"/>
          <wp:effectExtent l="0" t="0" r="0" b="0"/>
          <wp:wrapNone/>
          <wp:docPr id="4" name="Picture 4" descr="Header: QCOSS logo&#10;Footer: Thin QCOSS brand colour bars - Gold, aqua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 QCOSS logo&#10;Footer: Thin QCOSS brand colour bars - Gold, aqua and orange"/>
                  <pic:cNvPicPr/>
                </pic:nvPicPr>
                <pic:blipFill>
                  <a:blip r:embed="rId1">
                    <a:extLst>
                      <a:ext uri="{28A0092B-C50C-407E-A947-70E740481C1C}">
                        <a14:useLocalDpi xmlns:a14="http://schemas.microsoft.com/office/drawing/2010/main" val="0"/>
                      </a:ext>
                    </a:extLst>
                  </a:blip>
                  <a:stretch>
                    <a:fillRect/>
                  </a:stretch>
                </pic:blipFill>
                <pic:spPr>
                  <a:xfrm>
                    <a:off x="0" y="0"/>
                    <a:ext cx="7547212" cy="10671879"/>
                  </a:xfrm>
                  <a:prstGeom prst="rect">
                    <a:avLst/>
                  </a:prstGeom>
                </pic:spPr>
              </pic:pic>
            </a:graphicData>
          </a:graphic>
          <wp14:sizeRelH relativeFrom="margin">
            <wp14:pctWidth>0</wp14:pctWidth>
          </wp14:sizeRelH>
          <wp14:sizeRelV relativeFrom="margin">
            <wp14:pctHeight>0</wp14:pctHeight>
          </wp14:sizeRelV>
        </wp:anchor>
      </w:drawing>
    </w:r>
    <w:r w:rsidR="00DA05C9" w:rsidRPr="00700CA9">
      <w:t xml:space="preserve">Governance Policy and Procedure Template – </w:t>
    </w:r>
    <w:r w:rsidR="002E341D">
      <w:rPr>
        <w:rFonts w:ascii="Aptos" w:hAnsi="Aptos"/>
        <w:color w:val="000000"/>
        <w:sz w:val="22"/>
        <w:szCs w:val="22"/>
        <w:shd w:val="clear" w:color="auto" w:fill="FFFFFF"/>
      </w:rPr>
      <w:t xml:space="preserve">V2.0 </w:t>
    </w:r>
    <w:r w:rsidR="00DA05C9" w:rsidRPr="00700CA9">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1706C"/>
    <w:multiLevelType w:val="multilevel"/>
    <w:tmpl w:val="4CDE6064"/>
    <w:lvl w:ilvl="0">
      <w:start w:val="1"/>
      <w:numFmt w:val="bullet"/>
      <w:pStyle w:val="Figurecaption"/>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9A24998"/>
    <w:multiLevelType w:val="multilevel"/>
    <w:tmpl w:val="15C475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C885D29"/>
    <w:multiLevelType w:val="hybridMultilevel"/>
    <w:tmpl w:val="7BBEA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A30FA"/>
    <w:multiLevelType w:val="hybridMultilevel"/>
    <w:tmpl w:val="4176A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7524B"/>
    <w:multiLevelType w:val="hybridMultilevel"/>
    <w:tmpl w:val="9496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15774"/>
    <w:multiLevelType w:val="hybridMultilevel"/>
    <w:tmpl w:val="7D04A87E"/>
    <w:lvl w:ilvl="0" w:tplc="C58AD1A6">
      <w:start w:val="1"/>
      <w:numFmt w:val="bullet"/>
      <w:lvlText w:val=""/>
      <w:lvlJc w:val="left"/>
      <w:pPr>
        <w:ind w:left="720" w:hanging="360"/>
      </w:pPr>
      <w:rPr>
        <w:rFonts w:ascii="Symbol" w:hAnsi="Symbol" w:hint="default"/>
        <w:strike w:val="0"/>
        <w:dstrike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93726"/>
    <w:multiLevelType w:val="multilevel"/>
    <w:tmpl w:val="E848C8CE"/>
    <w:lvl w:ilvl="0">
      <w:start w:val="1"/>
      <w:numFmt w:val="decimal"/>
      <w:pStyle w:val="Tablecaption"/>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3949C4"/>
    <w:multiLevelType w:val="hybridMultilevel"/>
    <w:tmpl w:val="39BC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7E2BCD"/>
    <w:multiLevelType w:val="multilevel"/>
    <w:tmpl w:val="173CADFE"/>
    <w:lvl w:ilvl="0">
      <w:start w:val="1"/>
      <w:numFmt w:val="bullet"/>
      <w:pStyle w:val="List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F8532EA"/>
    <w:multiLevelType w:val="hybridMultilevel"/>
    <w:tmpl w:val="CE02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347DA"/>
    <w:multiLevelType w:val="multilevel"/>
    <w:tmpl w:val="5B5C4D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52A3886"/>
    <w:multiLevelType w:val="multilevel"/>
    <w:tmpl w:val="5B50811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2" w15:restartNumberingAfterBreak="0">
    <w:nsid w:val="36FA5B52"/>
    <w:multiLevelType w:val="hybridMultilevel"/>
    <w:tmpl w:val="4F1C61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61FD0"/>
    <w:multiLevelType w:val="hybridMultilevel"/>
    <w:tmpl w:val="D25227D8"/>
    <w:lvl w:ilvl="0" w:tplc="FAF41BB8">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D2C70"/>
    <w:multiLevelType w:val="hybridMultilevel"/>
    <w:tmpl w:val="FE3CE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3B7370"/>
    <w:multiLevelType w:val="hybridMultilevel"/>
    <w:tmpl w:val="D4CC3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617D1B"/>
    <w:multiLevelType w:val="hybridMultilevel"/>
    <w:tmpl w:val="A076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A481D"/>
    <w:multiLevelType w:val="multilevel"/>
    <w:tmpl w:val="6712B5D6"/>
    <w:lvl w:ilvl="0">
      <w:start w:val="1"/>
      <w:numFmt w:val="decimal"/>
      <w:pStyle w:val="NumberedList"/>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6814243D"/>
    <w:multiLevelType w:val="hybridMultilevel"/>
    <w:tmpl w:val="01AA3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F74F6"/>
    <w:multiLevelType w:val="hybridMultilevel"/>
    <w:tmpl w:val="C002C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F8565A"/>
    <w:multiLevelType w:val="hybridMultilevel"/>
    <w:tmpl w:val="08E0C6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896DBD"/>
    <w:multiLevelType w:val="hybridMultilevel"/>
    <w:tmpl w:val="79121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BE6FDB"/>
    <w:multiLevelType w:val="hybridMultilevel"/>
    <w:tmpl w:val="CCF425A4"/>
    <w:lvl w:ilvl="0" w:tplc="C58AD1A6">
      <w:start w:val="1"/>
      <w:numFmt w:val="bullet"/>
      <w:lvlText w:val=""/>
      <w:lvlJc w:val="left"/>
      <w:pPr>
        <w:ind w:left="720" w:hanging="360"/>
      </w:pPr>
      <w:rPr>
        <w:rFonts w:ascii="Symbol" w:hAnsi="Symbol" w:hint="default"/>
        <w:strike w:val="0"/>
        <w:dstrike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F597AE5"/>
    <w:multiLevelType w:val="multilevel"/>
    <w:tmpl w:val="06CACE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0344747"/>
    <w:multiLevelType w:val="hybridMultilevel"/>
    <w:tmpl w:val="58065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4095250">
    <w:abstractNumId w:val="8"/>
  </w:num>
  <w:num w:numId="2" w16cid:durableId="328294724">
    <w:abstractNumId w:val="6"/>
  </w:num>
  <w:num w:numId="3" w16cid:durableId="1860391471">
    <w:abstractNumId w:val="0"/>
  </w:num>
  <w:num w:numId="4" w16cid:durableId="698240043">
    <w:abstractNumId w:val="17"/>
  </w:num>
  <w:num w:numId="5" w16cid:durableId="700546998">
    <w:abstractNumId w:val="11"/>
  </w:num>
  <w:num w:numId="6" w16cid:durableId="1910994504">
    <w:abstractNumId w:val="1"/>
  </w:num>
  <w:num w:numId="7" w16cid:durableId="1874031164">
    <w:abstractNumId w:val="10"/>
  </w:num>
  <w:num w:numId="8" w16cid:durableId="424692202">
    <w:abstractNumId w:val="23"/>
  </w:num>
  <w:num w:numId="9" w16cid:durableId="713894895">
    <w:abstractNumId w:val="13"/>
  </w:num>
  <w:num w:numId="10" w16cid:durableId="960113824">
    <w:abstractNumId w:val="9"/>
  </w:num>
  <w:num w:numId="11" w16cid:durableId="1042362894">
    <w:abstractNumId w:val="2"/>
  </w:num>
  <w:num w:numId="12" w16cid:durableId="484399203">
    <w:abstractNumId w:val="4"/>
  </w:num>
  <w:num w:numId="13" w16cid:durableId="752699672">
    <w:abstractNumId w:val="19"/>
  </w:num>
  <w:num w:numId="14" w16cid:durableId="1868250248">
    <w:abstractNumId w:val="24"/>
  </w:num>
  <w:num w:numId="15" w16cid:durableId="1649087957">
    <w:abstractNumId w:val="15"/>
  </w:num>
  <w:num w:numId="16" w16cid:durableId="601033161">
    <w:abstractNumId w:val="3"/>
  </w:num>
  <w:num w:numId="17" w16cid:durableId="790244352">
    <w:abstractNumId w:val="12"/>
  </w:num>
  <w:num w:numId="18" w16cid:durableId="75250765">
    <w:abstractNumId w:val="7"/>
  </w:num>
  <w:num w:numId="19" w16cid:durableId="552040855">
    <w:abstractNumId w:val="18"/>
  </w:num>
  <w:num w:numId="20" w16cid:durableId="112603521">
    <w:abstractNumId w:val="21"/>
  </w:num>
  <w:num w:numId="21" w16cid:durableId="1296985387">
    <w:abstractNumId w:val="20"/>
  </w:num>
  <w:num w:numId="22" w16cid:durableId="1690985180">
    <w:abstractNumId w:val="14"/>
  </w:num>
  <w:num w:numId="23" w16cid:durableId="1734548867">
    <w:abstractNumId w:val="22"/>
  </w:num>
  <w:num w:numId="24" w16cid:durableId="171801959">
    <w:abstractNumId w:val="5"/>
  </w:num>
  <w:num w:numId="25" w16cid:durableId="99642278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9"/>
    <w:rsid w:val="0000248B"/>
    <w:rsid w:val="00002B17"/>
    <w:rsid w:val="00012201"/>
    <w:rsid w:val="00012B86"/>
    <w:rsid w:val="0002514C"/>
    <w:rsid w:val="000301FC"/>
    <w:rsid w:val="00030C04"/>
    <w:rsid w:val="0003733B"/>
    <w:rsid w:val="00056644"/>
    <w:rsid w:val="00060141"/>
    <w:rsid w:val="00060394"/>
    <w:rsid w:val="00062C80"/>
    <w:rsid w:val="000635B4"/>
    <w:rsid w:val="00074A68"/>
    <w:rsid w:val="00076004"/>
    <w:rsid w:val="000776E0"/>
    <w:rsid w:val="00084D45"/>
    <w:rsid w:val="00086FAE"/>
    <w:rsid w:val="00087D2B"/>
    <w:rsid w:val="00091FB1"/>
    <w:rsid w:val="00094189"/>
    <w:rsid w:val="00094DC1"/>
    <w:rsid w:val="00097C5E"/>
    <w:rsid w:val="000A2E04"/>
    <w:rsid w:val="000A6C51"/>
    <w:rsid w:val="000A7803"/>
    <w:rsid w:val="000D61D3"/>
    <w:rsid w:val="000D62E6"/>
    <w:rsid w:val="000E0B07"/>
    <w:rsid w:val="000E46C9"/>
    <w:rsid w:val="000E5928"/>
    <w:rsid w:val="000E6E3E"/>
    <w:rsid w:val="000F38F7"/>
    <w:rsid w:val="000F4583"/>
    <w:rsid w:val="00103E64"/>
    <w:rsid w:val="001057A4"/>
    <w:rsid w:val="0011279C"/>
    <w:rsid w:val="00123044"/>
    <w:rsid w:val="001232F4"/>
    <w:rsid w:val="001307F3"/>
    <w:rsid w:val="001332B9"/>
    <w:rsid w:val="001365DA"/>
    <w:rsid w:val="001412E5"/>
    <w:rsid w:val="001438AC"/>
    <w:rsid w:val="0014438E"/>
    <w:rsid w:val="00150531"/>
    <w:rsid w:val="0015151B"/>
    <w:rsid w:val="00151AA5"/>
    <w:rsid w:val="00152339"/>
    <w:rsid w:val="00153776"/>
    <w:rsid w:val="001576F6"/>
    <w:rsid w:val="00162F77"/>
    <w:rsid w:val="00164001"/>
    <w:rsid w:val="00164848"/>
    <w:rsid w:val="001661E0"/>
    <w:rsid w:val="00174F3B"/>
    <w:rsid w:val="00180346"/>
    <w:rsid w:val="001814C7"/>
    <w:rsid w:val="001848C1"/>
    <w:rsid w:val="001949FA"/>
    <w:rsid w:val="0019787B"/>
    <w:rsid w:val="001B33EA"/>
    <w:rsid w:val="001B3583"/>
    <w:rsid w:val="001B7C0D"/>
    <w:rsid w:val="001C30FF"/>
    <w:rsid w:val="001C3B0A"/>
    <w:rsid w:val="001C3D90"/>
    <w:rsid w:val="001E3BB7"/>
    <w:rsid w:val="001E5BD2"/>
    <w:rsid w:val="001E63E9"/>
    <w:rsid w:val="001F5411"/>
    <w:rsid w:val="001F5ACF"/>
    <w:rsid w:val="001F5D67"/>
    <w:rsid w:val="0020464A"/>
    <w:rsid w:val="00204719"/>
    <w:rsid w:val="00212669"/>
    <w:rsid w:val="00217B02"/>
    <w:rsid w:val="0022039C"/>
    <w:rsid w:val="00221627"/>
    <w:rsid w:val="0022529B"/>
    <w:rsid w:val="002304B7"/>
    <w:rsid w:val="00233905"/>
    <w:rsid w:val="00242EC6"/>
    <w:rsid w:val="0024402C"/>
    <w:rsid w:val="00245707"/>
    <w:rsid w:val="00245E9E"/>
    <w:rsid w:val="00246F57"/>
    <w:rsid w:val="002504AB"/>
    <w:rsid w:val="00253D86"/>
    <w:rsid w:val="002550E1"/>
    <w:rsid w:val="00266BE7"/>
    <w:rsid w:val="00267AAC"/>
    <w:rsid w:val="0027076E"/>
    <w:rsid w:val="00270836"/>
    <w:rsid w:val="00277E8A"/>
    <w:rsid w:val="00284C21"/>
    <w:rsid w:val="00284D17"/>
    <w:rsid w:val="00292AC5"/>
    <w:rsid w:val="002A012A"/>
    <w:rsid w:val="002A14F2"/>
    <w:rsid w:val="002A7B3E"/>
    <w:rsid w:val="002B15B1"/>
    <w:rsid w:val="002B2AD1"/>
    <w:rsid w:val="002B31EF"/>
    <w:rsid w:val="002B7BF5"/>
    <w:rsid w:val="002B7F14"/>
    <w:rsid w:val="002C0E7A"/>
    <w:rsid w:val="002C2172"/>
    <w:rsid w:val="002C521A"/>
    <w:rsid w:val="002C6BFC"/>
    <w:rsid w:val="002C7552"/>
    <w:rsid w:val="002D089D"/>
    <w:rsid w:val="002D41F0"/>
    <w:rsid w:val="002D5614"/>
    <w:rsid w:val="002E0A39"/>
    <w:rsid w:val="002E2076"/>
    <w:rsid w:val="002E341D"/>
    <w:rsid w:val="002E5693"/>
    <w:rsid w:val="002F15BD"/>
    <w:rsid w:val="002F40EB"/>
    <w:rsid w:val="002F787F"/>
    <w:rsid w:val="00302739"/>
    <w:rsid w:val="00306C16"/>
    <w:rsid w:val="00307BA8"/>
    <w:rsid w:val="00315585"/>
    <w:rsid w:val="003203A8"/>
    <w:rsid w:val="003233EC"/>
    <w:rsid w:val="003323FB"/>
    <w:rsid w:val="00333697"/>
    <w:rsid w:val="00333DD8"/>
    <w:rsid w:val="003411FB"/>
    <w:rsid w:val="00343A54"/>
    <w:rsid w:val="0034702F"/>
    <w:rsid w:val="003620EA"/>
    <w:rsid w:val="00381ADE"/>
    <w:rsid w:val="003A0B4A"/>
    <w:rsid w:val="003A2FE9"/>
    <w:rsid w:val="003A4EDF"/>
    <w:rsid w:val="003B42B7"/>
    <w:rsid w:val="003B6D28"/>
    <w:rsid w:val="003C1E42"/>
    <w:rsid w:val="003C3F55"/>
    <w:rsid w:val="003C6D2C"/>
    <w:rsid w:val="003D01ED"/>
    <w:rsid w:val="003D02B4"/>
    <w:rsid w:val="003D030A"/>
    <w:rsid w:val="003D729C"/>
    <w:rsid w:val="003E2610"/>
    <w:rsid w:val="003E3796"/>
    <w:rsid w:val="003E66B9"/>
    <w:rsid w:val="003F2D67"/>
    <w:rsid w:val="00405388"/>
    <w:rsid w:val="00405CEF"/>
    <w:rsid w:val="0041145A"/>
    <w:rsid w:val="00412C6F"/>
    <w:rsid w:val="004200A9"/>
    <w:rsid w:val="00420A07"/>
    <w:rsid w:val="00423C5D"/>
    <w:rsid w:val="00425EB3"/>
    <w:rsid w:val="0043064E"/>
    <w:rsid w:val="0043271D"/>
    <w:rsid w:val="0043419B"/>
    <w:rsid w:val="00435BA3"/>
    <w:rsid w:val="00437C17"/>
    <w:rsid w:val="00444FE7"/>
    <w:rsid w:val="004524CF"/>
    <w:rsid w:val="004579D9"/>
    <w:rsid w:val="004604F3"/>
    <w:rsid w:val="004614EF"/>
    <w:rsid w:val="004643A1"/>
    <w:rsid w:val="004767BA"/>
    <w:rsid w:val="00476935"/>
    <w:rsid w:val="004817BF"/>
    <w:rsid w:val="004827D1"/>
    <w:rsid w:val="004A068E"/>
    <w:rsid w:val="004A1D54"/>
    <w:rsid w:val="004B546F"/>
    <w:rsid w:val="004B5F09"/>
    <w:rsid w:val="004B621B"/>
    <w:rsid w:val="004C0E0B"/>
    <w:rsid w:val="004C2AF0"/>
    <w:rsid w:val="004C6003"/>
    <w:rsid w:val="004C640B"/>
    <w:rsid w:val="004E0AC0"/>
    <w:rsid w:val="004E619A"/>
    <w:rsid w:val="004E6BBE"/>
    <w:rsid w:val="00501985"/>
    <w:rsid w:val="00502F4F"/>
    <w:rsid w:val="0050395A"/>
    <w:rsid w:val="0050674E"/>
    <w:rsid w:val="0051542E"/>
    <w:rsid w:val="00523CF2"/>
    <w:rsid w:val="00524176"/>
    <w:rsid w:val="00531416"/>
    <w:rsid w:val="00531891"/>
    <w:rsid w:val="00531CE2"/>
    <w:rsid w:val="00542C63"/>
    <w:rsid w:val="00543953"/>
    <w:rsid w:val="00547BDA"/>
    <w:rsid w:val="00550B89"/>
    <w:rsid w:val="00560506"/>
    <w:rsid w:val="0056293A"/>
    <w:rsid w:val="00566FDE"/>
    <w:rsid w:val="005674AA"/>
    <w:rsid w:val="00567939"/>
    <w:rsid w:val="005836AF"/>
    <w:rsid w:val="005978A6"/>
    <w:rsid w:val="005A4F38"/>
    <w:rsid w:val="005B0354"/>
    <w:rsid w:val="005B3E38"/>
    <w:rsid w:val="005B43C7"/>
    <w:rsid w:val="005B77BE"/>
    <w:rsid w:val="005C6904"/>
    <w:rsid w:val="005C78E8"/>
    <w:rsid w:val="005D1D20"/>
    <w:rsid w:val="005D4D69"/>
    <w:rsid w:val="005D636C"/>
    <w:rsid w:val="005D6EC8"/>
    <w:rsid w:val="005D7066"/>
    <w:rsid w:val="005E1613"/>
    <w:rsid w:val="005F17B2"/>
    <w:rsid w:val="005F19AD"/>
    <w:rsid w:val="005F3835"/>
    <w:rsid w:val="00605EC1"/>
    <w:rsid w:val="0060647B"/>
    <w:rsid w:val="00606DEE"/>
    <w:rsid w:val="0061000C"/>
    <w:rsid w:val="00613576"/>
    <w:rsid w:val="006144AE"/>
    <w:rsid w:val="006148FD"/>
    <w:rsid w:val="00621399"/>
    <w:rsid w:val="00631C48"/>
    <w:rsid w:val="006359E5"/>
    <w:rsid w:val="00642997"/>
    <w:rsid w:val="006459E6"/>
    <w:rsid w:val="0064706C"/>
    <w:rsid w:val="00651B99"/>
    <w:rsid w:val="006542A8"/>
    <w:rsid w:val="00654A06"/>
    <w:rsid w:val="00657BC8"/>
    <w:rsid w:val="00661D0C"/>
    <w:rsid w:val="00663130"/>
    <w:rsid w:val="006647AA"/>
    <w:rsid w:val="00670745"/>
    <w:rsid w:val="00682465"/>
    <w:rsid w:val="006845BD"/>
    <w:rsid w:val="00684DAB"/>
    <w:rsid w:val="0068529B"/>
    <w:rsid w:val="00690C4E"/>
    <w:rsid w:val="00690EF8"/>
    <w:rsid w:val="00694452"/>
    <w:rsid w:val="00697556"/>
    <w:rsid w:val="006A0593"/>
    <w:rsid w:val="006A7121"/>
    <w:rsid w:val="006B0C09"/>
    <w:rsid w:val="006B1246"/>
    <w:rsid w:val="006B1EAD"/>
    <w:rsid w:val="006C1211"/>
    <w:rsid w:val="006C3B50"/>
    <w:rsid w:val="006C47BE"/>
    <w:rsid w:val="006C6845"/>
    <w:rsid w:val="006D0EBE"/>
    <w:rsid w:val="006D75CB"/>
    <w:rsid w:val="006E377A"/>
    <w:rsid w:val="006E7FEA"/>
    <w:rsid w:val="006F13F4"/>
    <w:rsid w:val="00700CA9"/>
    <w:rsid w:val="0070168F"/>
    <w:rsid w:val="007104B1"/>
    <w:rsid w:val="0071056D"/>
    <w:rsid w:val="00715E03"/>
    <w:rsid w:val="00721B53"/>
    <w:rsid w:val="00727ED6"/>
    <w:rsid w:val="00740428"/>
    <w:rsid w:val="00740B39"/>
    <w:rsid w:val="00744974"/>
    <w:rsid w:val="007520DA"/>
    <w:rsid w:val="0075487D"/>
    <w:rsid w:val="007549DD"/>
    <w:rsid w:val="00757FD7"/>
    <w:rsid w:val="00764117"/>
    <w:rsid w:val="00766C63"/>
    <w:rsid w:val="00766E1D"/>
    <w:rsid w:val="00767DD6"/>
    <w:rsid w:val="0077150A"/>
    <w:rsid w:val="00774E48"/>
    <w:rsid w:val="0078203E"/>
    <w:rsid w:val="00784290"/>
    <w:rsid w:val="00784AF9"/>
    <w:rsid w:val="00793518"/>
    <w:rsid w:val="007979C2"/>
    <w:rsid w:val="007A0476"/>
    <w:rsid w:val="007A1CFA"/>
    <w:rsid w:val="007A1D7B"/>
    <w:rsid w:val="007A367D"/>
    <w:rsid w:val="007A5B02"/>
    <w:rsid w:val="007B1552"/>
    <w:rsid w:val="007B4C7D"/>
    <w:rsid w:val="007D37F0"/>
    <w:rsid w:val="007D3FAD"/>
    <w:rsid w:val="007D51DE"/>
    <w:rsid w:val="007E1388"/>
    <w:rsid w:val="007E6BB9"/>
    <w:rsid w:val="007E71C8"/>
    <w:rsid w:val="007F0FD3"/>
    <w:rsid w:val="007F3450"/>
    <w:rsid w:val="00807BEE"/>
    <w:rsid w:val="008128D2"/>
    <w:rsid w:val="00813057"/>
    <w:rsid w:val="00815280"/>
    <w:rsid w:val="00821263"/>
    <w:rsid w:val="00822274"/>
    <w:rsid w:val="00822C56"/>
    <w:rsid w:val="00825528"/>
    <w:rsid w:val="00826ED7"/>
    <w:rsid w:val="008315F2"/>
    <w:rsid w:val="00853B6B"/>
    <w:rsid w:val="00853BEE"/>
    <w:rsid w:val="0085691D"/>
    <w:rsid w:val="00860B2A"/>
    <w:rsid w:val="00862DD7"/>
    <w:rsid w:val="00873EBD"/>
    <w:rsid w:val="00882215"/>
    <w:rsid w:val="00882B77"/>
    <w:rsid w:val="00887917"/>
    <w:rsid w:val="00891118"/>
    <w:rsid w:val="008928BC"/>
    <w:rsid w:val="008A5AFC"/>
    <w:rsid w:val="008B44E9"/>
    <w:rsid w:val="008C1495"/>
    <w:rsid w:val="008C1CB6"/>
    <w:rsid w:val="008C4E6D"/>
    <w:rsid w:val="008C62EC"/>
    <w:rsid w:val="008C6972"/>
    <w:rsid w:val="008C7013"/>
    <w:rsid w:val="008D1A1B"/>
    <w:rsid w:val="008D2683"/>
    <w:rsid w:val="008D29F5"/>
    <w:rsid w:val="008D420A"/>
    <w:rsid w:val="008D591E"/>
    <w:rsid w:val="008E269B"/>
    <w:rsid w:val="008E760E"/>
    <w:rsid w:val="009009E7"/>
    <w:rsid w:val="0090402A"/>
    <w:rsid w:val="00906005"/>
    <w:rsid w:val="0090620C"/>
    <w:rsid w:val="00906EDA"/>
    <w:rsid w:val="00906FA5"/>
    <w:rsid w:val="00907279"/>
    <w:rsid w:val="00911601"/>
    <w:rsid w:val="009128DF"/>
    <w:rsid w:val="00925163"/>
    <w:rsid w:val="009277F6"/>
    <w:rsid w:val="00940F03"/>
    <w:rsid w:val="009474A3"/>
    <w:rsid w:val="009605A4"/>
    <w:rsid w:val="009665C4"/>
    <w:rsid w:val="00976A5F"/>
    <w:rsid w:val="00977B1F"/>
    <w:rsid w:val="0098373A"/>
    <w:rsid w:val="00983E4F"/>
    <w:rsid w:val="009846A6"/>
    <w:rsid w:val="009861E9"/>
    <w:rsid w:val="0099332E"/>
    <w:rsid w:val="00994D32"/>
    <w:rsid w:val="00996940"/>
    <w:rsid w:val="00997FDA"/>
    <w:rsid w:val="009A0C4F"/>
    <w:rsid w:val="009A211A"/>
    <w:rsid w:val="009A7330"/>
    <w:rsid w:val="009B3DFE"/>
    <w:rsid w:val="009B7CEF"/>
    <w:rsid w:val="009C4A45"/>
    <w:rsid w:val="009C5C82"/>
    <w:rsid w:val="009D02AE"/>
    <w:rsid w:val="009D124F"/>
    <w:rsid w:val="009D5E57"/>
    <w:rsid w:val="009E1774"/>
    <w:rsid w:val="009F0065"/>
    <w:rsid w:val="009F2EED"/>
    <w:rsid w:val="009F4E87"/>
    <w:rsid w:val="009F5DF4"/>
    <w:rsid w:val="009F66CF"/>
    <w:rsid w:val="009F7071"/>
    <w:rsid w:val="00A009D4"/>
    <w:rsid w:val="00A00C16"/>
    <w:rsid w:val="00A02621"/>
    <w:rsid w:val="00A0376C"/>
    <w:rsid w:val="00A03A51"/>
    <w:rsid w:val="00A10055"/>
    <w:rsid w:val="00A212FE"/>
    <w:rsid w:val="00A2132B"/>
    <w:rsid w:val="00A244AB"/>
    <w:rsid w:val="00A272EE"/>
    <w:rsid w:val="00A3108B"/>
    <w:rsid w:val="00A34FD2"/>
    <w:rsid w:val="00A37C5A"/>
    <w:rsid w:val="00A41B0D"/>
    <w:rsid w:val="00A42A19"/>
    <w:rsid w:val="00A42B0D"/>
    <w:rsid w:val="00A43F9E"/>
    <w:rsid w:val="00A459EE"/>
    <w:rsid w:val="00A4607A"/>
    <w:rsid w:val="00A52201"/>
    <w:rsid w:val="00A53DF5"/>
    <w:rsid w:val="00A543A5"/>
    <w:rsid w:val="00A54E8E"/>
    <w:rsid w:val="00A56EFB"/>
    <w:rsid w:val="00A64BD2"/>
    <w:rsid w:val="00A76E9D"/>
    <w:rsid w:val="00A8783B"/>
    <w:rsid w:val="00A87D47"/>
    <w:rsid w:val="00A90422"/>
    <w:rsid w:val="00A92715"/>
    <w:rsid w:val="00AA155D"/>
    <w:rsid w:val="00AA18FC"/>
    <w:rsid w:val="00AA7EE2"/>
    <w:rsid w:val="00AB0A1E"/>
    <w:rsid w:val="00AB2D4D"/>
    <w:rsid w:val="00AB413C"/>
    <w:rsid w:val="00AB4A96"/>
    <w:rsid w:val="00AB5035"/>
    <w:rsid w:val="00AC46FF"/>
    <w:rsid w:val="00AD02BA"/>
    <w:rsid w:val="00AD10DD"/>
    <w:rsid w:val="00AD732C"/>
    <w:rsid w:val="00AE0470"/>
    <w:rsid w:val="00AE0753"/>
    <w:rsid w:val="00AE566B"/>
    <w:rsid w:val="00AF43CA"/>
    <w:rsid w:val="00AF5645"/>
    <w:rsid w:val="00B00925"/>
    <w:rsid w:val="00B01DB5"/>
    <w:rsid w:val="00B0695B"/>
    <w:rsid w:val="00B06984"/>
    <w:rsid w:val="00B07348"/>
    <w:rsid w:val="00B076CF"/>
    <w:rsid w:val="00B1102C"/>
    <w:rsid w:val="00B1105F"/>
    <w:rsid w:val="00B164CA"/>
    <w:rsid w:val="00B207BD"/>
    <w:rsid w:val="00B42676"/>
    <w:rsid w:val="00B46FE5"/>
    <w:rsid w:val="00B654AF"/>
    <w:rsid w:val="00B863DB"/>
    <w:rsid w:val="00B86405"/>
    <w:rsid w:val="00B86B0E"/>
    <w:rsid w:val="00B957E3"/>
    <w:rsid w:val="00BA0AB4"/>
    <w:rsid w:val="00BA27FD"/>
    <w:rsid w:val="00BA638E"/>
    <w:rsid w:val="00BA7703"/>
    <w:rsid w:val="00BC1C11"/>
    <w:rsid w:val="00BC3A9E"/>
    <w:rsid w:val="00BC6089"/>
    <w:rsid w:val="00BD32CE"/>
    <w:rsid w:val="00BD5E40"/>
    <w:rsid w:val="00BE1C08"/>
    <w:rsid w:val="00BE25AB"/>
    <w:rsid w:val="00BE5535"/>
    <w:rsid w:val="00BF43F8"/>
    <w:rsid w:val="00C032BB"/>
    <w:rsid w:val="00C0516E"/>
    <w:rsid w:val="00C11250"/>
    <w:rsid w:val="00C12470"/>
    <w:rsid w:val="00C12884"/>
    <w:rsid w:val="00C2277C"/>
    <w:rsid w:val="00C24056"/>
    <w:rsid w:val="00C25ADF"/>
    <w:rsid w:val="00C31CAD"/>
    <w:rsid w:val="00C3326D"/>
    <w:rsid w:val="00C33C84"/>
    <w:rsid w:val="00C37354"/>
    <w:rsid w:val="00C374A5"/>
    <w:rsid w:val="00C51D57"/>
    <w:rsid w:val="00C52F77"/>
    <w:rsid w:val="00C53A3F"/>
    <w:rsid w:val="00C56DAE"/>
    <w:rsid w:val="00C5701B"/>
    <w:rsid w:val="00C5706E"/>
    <w:rsid w:val="00C577F3"/>
    <w:rsid w:val="00C57E35"/>
    <w:rsid w:val="00C6152B"/>
    <w:rsid w:val="00C6225A"/>
    <w:rsid w:val="00C642F9"/>
    <w:rsid w:val="00C70FB2"/>
    <w:rsid w:val="00C75B78"/>
    <w:rsid w:val="00C82238"/>
    <w:rsid w:val="00C84007"/>
    <w:rsid w:val="00C8411C"/>
    <w:rsid w:val="00C9095B"/>
    <w:rsid w:val="00C92821"/>
    <w:rsid w:val="00C957CF"/>
    <w:rsid w:val="00CA3951"/>
    <w:rsid w:val="00CA7277"/>
    <w:rsid w:val="00CB2582"/>
    <w:rsid w:val="00CB55D8"/>
    <w:rsid w:val="00CB7AFC"/>
    <w:rsid w:val="00CC1D39"/>
    <w:rsid w:val="00CD0627"/>
    <w:rsid w:val="00CD1908"/>
    <w:rsid w:val="00CD64B5"/>
    <w:rsid w:val="00CF4B72"/>
    <w:rsid w:val="00CF74C5"/>
    <w:rsid w:val="00D011A8"/>
    <w:rsid w:val="00D03557"/>
    <w:rsid w:val="00D10788"/>
    <w:rsid w:val="00D140B2"/>
    <w:rsid w:val="00D27259"/>
    <w:rsid w:val="00D31081"/>
    <w:rsid w:val="00D31E30"/>
    <w:rsid w:val="00D37638"/>
    <w:rsid w:val="00D37FBD"/>
    <w:rsid w:val="00D40963"/>
    <w:rsid w:val="00D41CB3"/>
    <w:rsid w:val="00D42F84"/>
    <w:rsid w:val="00D4469D"/>
    <w:rsid w:val="00D516D3"/>
    <w:rsid w:val="00D549BF"/>
    <w:rsid w:val="00D551FF"/>
    <w:rsid w:val="00D56CEE"/>
    <w:rsid w:val="00D60852"/>
    <w:rsid w:val="00D60D2A"/>
    <w:rsid w:val="00D613A2"/>
    <w:rsid w:val="00D623D2"/>
    <w:rsid w:val="00D62900"/>
    <w:rsid w:val="00D638B5"/>
    <w:rsid w:val="00D659BC"/>
    <w:rsid w:val="00D6799E"/>
    <w:rsid w:val="00D715DB"/>
    <w:rsid w:val="00D73258"/>
    <w:rsid w:val="00D87DF9"/>
    <w:rsid w:val="00D91647"/>
    <w:rsid w:val="00D91863"/>
    <w:rsid w:val="00D97AB8"/>
    <w:rsid w:val="00DA05C9"/>
    <w:rsid w:val="00DA751B"/>
    <w:rsid w:val="00DC31C3"/>
    <w:rsid w:val="00DD1D5F"/>
    <w:rsid w:val="00DD314A"/>
    <w:rsid w:val="00DE4EE2"/>
    <w:rsid w:val="00DF757D"/>
    <w:rsid w:val="00E0099A"/>
    <w:rsid w:val="00E027FF"/>
    <w:rsid w:val="00E03631"/>
    <w:rsid w:val="00E06C13"/>
    <w:rsid w:val="00E071F9"/>
    <w:rsid w:val="00E10148"/>
    <w:rsid w:val="00E12C67"/>
    <w:rsid w:val="00E139BE"/>
    <w:rsid w:val="00E21D4C"/>
    <w:rsid w:val="00E2211A"/>
    <w:rsid w:val="00E247FF"/>
    <w:rsid w:val="00E27A92"/>
    <w:rsid w:val="00E304F7"/>
    <w:rsid w:val="00E3742F"/>
    <w:rsid w:val="00E43BA4"/>
    <w:rsid w:val="00E43DF8"/>
    <w:rsid w:val="00E455A0"/>
    <w:rsid w:val="00E472DB"/>
    <w:rsid w:val="00E50631"/>
    <w:rsid w:val="00E5213D"/>
    <w:rsid w:val="00E67CE7"/>
    <w:rsid w:val="00E71ABE"/>
    <w:rsid w:val="00E72051"/>
    <w:rsid w:val="00E7726B"/>
    <w:rsid w:val="00E87389"/>
    <w:rsid w:val="00E96304"/>
    <w:rsid w:val="00EA1DA5"/>
    <w:rsid w:val="00EA3223"/>
    <w:rsid w:val="00EB1881"/>
    <w:rsid w:val="00EB283B"/>
    <w:rsid w:val="00EC5597"/>
    <w:rsid w:val="00EC788D"/>
    <w:rsid w:val="00ED0CFF"/>
    <w:rsid w:val="00ED48D3"/>
    <w:rsid w:val="00ED4BA7"/>
    <w:rsid w:val="00EE7FEE"/>
    <w:rsid w:val="00EF2DBE"/>
    <w:rsid w:val="00EF3528"/>
    <w:rsid w:val="00EF6BBD"/>
    <w:rsid w:val="00EF7941"/>
    <w:rsid w:val="00F04A97"/>
    <w:rsid w:val="00F136EB"/>
    <w:rsid w:val="00F13ADF"/>
    <w:rsid w:val="00F163D5"/>
    <w:rsid w:val="00F16481"/>
    <w:rsid w:val="00F3582B"/>
    <w:rsid w:val="00F373E6"/>
    <w:rsid w:val="00F41281"/>
    <w:rsid w:val="00F41D84"/>
    <w:rsid w:val="00F510BD"/>
    <w:rsid w:val="00F523D9"/>
    <w:rsid w:val="00F537F2"/>
    <w:rsid w:val="00F54B60"/>
    <w:rsid w:val="00F750E3"/>
    <w:rsid w:val="00F83427"/>
    <w:rsid w:val="00F84E51"/>
    <w:rsid w:val="00F85279"/>
    <w:rsid w:val="00F878CC"/>
    <w:rsid w:val="00F916BB"/>
    <w:rsid w:val="00F96BCA"/>
    <w:rsid w:val="00FA5836"/>
    <w:rsid w:val="00FB55A8"/>
    <w:rsid w:val="00FB73AA"/>
    <w:rsid w:val="00FD18AF"/>
    <w:rsid w:val="00FD2DD9"/>
    <w:rsid w:val="00FE2C09"/>
    <w:rsid w:val="00FE365A"/>
    <w:rsid w:val="00FE7852"/>
    <w:rsid w:val="00FF57DA"/>
    <w:rsid w:val="00FF6C2E"/>
    <w:rsid w:val="03356F8E"/>
    <w:rsid w:val="0F7BEFA5"/>
    <w:rsid w:val="20FB2AF4"/>
    <w:rsid w:val="2DCF2A48"/>
    <w:rsid w:val="33E3DFC8"/>
    <w:rsid w:val="620250E0"/>
    <w:rsid w:val="67E4B522"/>
    <w:rsid w:val="6E968D2B"/>
    <w:rsid w:val="74A9A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8ADD"/>
  <w15:chartTrackingRefBased/>
  <w15:docId w15:val="{F9701F24-306E-41F3-BB8E-9004174D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6BB"/>
    <w:pPr>
      <w:spacing w:before="120" w:after="120" w:line="276" w:lineRule="auto"/>
    </w:pPr>
    <w:rPr>
      <w:rFonts w:eastAsia="Muli" w:cstheme="minorHAnsi"/>
      <w:sz w:val="20"/>
      <w:szCs w:val="20"/>
      <w:lang w:eastAsia="en-AU"/>
    </w:rPr>
  </w:style>
  <w:style w:type="paragraph" w:styleId="Heading1">
    <w:name w:val="heading 1"/>
    <w:basedOn w:val="Normal"/>
    <w:next w:val="Normal"/>
    <w:link w:val="Heading1Char"/>
    <w:uiPriority w:val="9"/>
    <w:qFormat/>
    <w:rsid w:val="00715E03"/>
    <w:pPr>
      <w:keepNext/>
      <w:keepLines/>
      <w:spacing w:before="360"/>
      <w:outlineLvl w:val="0"/>
    </w:pPr>
    <w:rPr>
      <w:rFonts w:asciiTheme="majorHAnsi" w:eastAsiaTheme="majorEastAsia" w:hAnsiTheme="majorHAnsi" w:cstheme="majorBidi"/>
      <w:b/>
      <w:color w:val="2A3648" w:themeColor="text2"/>
      <w:sz w:val="36"/>
      <w:szCs w:val="32"/>
      <w:u w:val="single" w:color="FAA61B" w:themeColor="accent1"/>
    </w:rPr>
  </w:style>
  <w:style w:type="paragraph" w:styleId="Heading2">
    <w:name w:val="heading 2"/>
    <w:basedOn w:val="Normal"/>
    <w:next w:val="Normal"/>
    <w:link w:val="Heading2Char"/>
    <w:uiPriority w:val="9"/>
    <w:unhideWhenUsed/>
    <w:qFormat/>
    <w:rsid w:val="00740428"/>
    <w:pPr>
      <w:keepNext/>
      <w:keepLines/>
      <w:spacing w:before="200" w:after="0"/>
      <w:outlineLvl w:val="1"/>
    </w:pPr>
    <w:rPr>
      <w:rFonts w:asciiTheme="majorHAnsi" w:hAnsiTheme="majorHAnsi" w:cstheme="majorBidi"/>
      <w:b/>
      <w:color w:val="2A3648" w:themeColor="text2"/>
      <w:sz w:val="28"/>
      <w:szCs w:val="26"/>
    </w:rPr>
  </w:style>
  <w:style w:type="paragraph" w:styleId="Heading3">
    <w:name w:val="heading 3"/>
    <w:basedOn w:val="Normal"/>
    <w:next w:val="Normal"/>
    <w:link w:val="Heading3Char"/>
    <w:uiPriority w:val="9"/>
    <w:unhideWhenUsed/>
    <w:qFormat/>
    <w:rsid w:val="00F916BB"/>
    <w:pPr>
      <w:keepNext/>
      <w:keepLines/>
      <w:spacing w:before="200" w:after="0"/>
      <w:outlineLvl w:val="2"/>
    </w:pPr>
    <w:rPr>
      <w:rFonts w:asciiTheme="majorHAnsi" w:hAnsiTheme="majorHAnsi" w:cstheme="majorBidi"/>
      <w:color w:val="2A3648" w:themeColor="text2"/>
      <w:sz w:val="24"/>
      <w:szCs w:val="24"/>
    </w:rPr>
  </w:style>
  <w:style w:type="paragraph" w:styleId="Heading4">
    <w:name w:val="heading 4"/>
    <w:basedOn w:val="Normal"/>
    <w:next w:val="Normal"/>
    <w:link w:val="Heading4Char"/>
    <w:uiPriority w:val="9"/>
    <w:unhideWhenUsed/>
    <w:qFormat/>
    <w:rsid w:val="007E6BB9"/>
    <w:pPr>
      <w:keepNext/>
      <w:keepLines/>
      <w:spacing w:before="40"/>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E03"/>
    <w:rPr>
      <w:rFonts w:asciiTheme="majorHAnsi" w:eastAsiaTheme="majorEastAsia" w:hAnsiTheme="majorHAnsi" w:cstheme="majorBidi"/>
      <w:b/>
      <w:color w:val="2A3648" w:themeColor="text2"/>
      <w:sz w:val="36"/>
      <w:szCs w:val="32"/>
      <w:u w:val="single" w:color="FAA61B" w:themeColor="accent1"/>
      <w:lang w:val="en-US" w:eastAsia="en-AU"/>
    </w:rPr>
  </w:style>
  <w:style w:type="character" w:customStyle="1" w:styleId="Heading2Char">
    <w:name w:val="Heading 2 Char"/>
    <w:basedOn w:val="DefaultParagraphFont"/>
    <w:link w:val="Heading2"/>
    <w:uiPriority w:val="9"/>
    <w:rsid w:val="00740428"/>
    <w:rPr>
      <w:rFonts w:asciiTheme="majorHAnsi" w:eastAsia="Muli" w:hAnsiTheme="majorHAnsi" w:cstheme="majorBidi"/>
      <w:b/>
      <w:color w:val="2A3648" w:themeColor="text2"/>
      <w:sz w:val="28"/>
      <w:szCs w:val="26"/>
      <w:lang w:eastAsia="en-AU"/>
    </w:rPr>
  </w:style>
  <w:style w:type="paragraph" w:styleId="Title">
    <w:name w:val="Title"/>
    <w:basedOn w:val="Normal"/>
    <w:next w:val="Normal"/>
    <w:link w:val="TitleChar"/>
    <w:uiPriority w:val="10"/>
    <w:qFormat/>
    <w:rsid w:val="00715E03"/>
    <w:pPr>
      <w:pBdr>
        <w:bottom w:val="single" w:sz="24" w:space="1" w:color="auto"/>
      </w:pBdr>
      <w:spacing w:after="0"/>
      <w:contextualSpacing/>
    </w:pPr>
    <w:rPr>
      <w:rFonts w:eastAsiaTheme="majorEastAsia" w:cstheme="majorBidi"/>
      <w:b/>
      <w:color w:val="2A3648" w:themeColor="text2"/>
      <w:spacing w:val="-10"/>
      <w:kern w:val="28"/>
      <w:sz w:val="48"/>
      <w:szCs w:val="56"/>
    </w:rPr>
  </w:style>
  <w:style w:type="character" w:customStyle="1" w:styleId="TitleChar">
    <w:name w:val="Title Char"/>
    <w:basedOn w:val="DefaultParagraphFont"/>
    <w:link w:val="Title"/>
    <w:uiPriority w:val="10"/>
    <w:rsid w:val="00715E03"/>
    <w:rPr>
      <w:rFonts w:eastAsiaTheme="majorEastAsia" w:cstheme="majorBidi"/>
      <w:b/>
      <w:color w:val="2A3648" w:themeColor="text2"/>
      <w:spacing w:val="-10"/>
      <w:kern w:val="28"/>
      <w:sz w:val="48"/>
      <w:szCs w:val="56"/>
      <w:lang w:val="en-US" w:eastAsia="en-AU"/>
    </w:rPr>
  </w:style>
  <w:style w:type="paragraph" w:styleId="Header">
    <w:name w:val="header"/>
    <w:basedOn w:val="Normal"/>
    <w:link w:val="HeaderChar"/>
    <w:uiPriority w:val="99"/>
    <w:unhideWhenUsed/>
    <w:rsid w:val="006647AA"/>
    <w:pPr>
      <w:tabs>
        <w:tab w:val="center" w:pos="4513"/>
        <w:tab w:val="right" w:pos="9026"/>
      </w:tabs>
      <w:spacing w:after="0"/>
    </w:pPr>
  </w:style>
  <w:style w:type="character" w:customStyle="1" w:styleId="HeaderChar">
    <w:name w:val="Header Char"/>
    <w:basedOn w:val="DefaultParagraphFont"/>
    <w:link w:val="Header"/>
    <w:uiPriority w:val="99"/>
    <w:rsid w:val="006647AA"/>
  </w:style>
  <w:style w:type="paragraph" w:styleId="Footer">
    <w:name w:val="footer"/>
    <w:basedOn w:val="Normal"/>
    <w:link w:val="FooterChar"/>
    <w:uiPriority w:val="99"/>
    <w:unhideWhenUsed/>
    <w:rsid w:val="006647AA"/>
    <w:pPr>
      <w:tabs>
        <w:tab w:val="center" w:pos="4513"/>
        <w:tab w:val="right" w:pos="9026"/>
      </w:tabs>
      <w:spacing w:after="0"/>
    </w:pPr>
  </w:style>
  <w:style w:type="character" w:customStyle="1" w:styleId="FooterChar">
    <w:name w:val="Footer Char"/>
    <w:basedOn w:val="DefaultParagraphFont"/>
    <w:link w:val="Footer"/>
    <w:uiPriority w:val="99"/>
    <w:rsid w:val="006647AA"/>
  </w:style>
  <w:style w:type="paragraph" w:styleId="NoSpacing">
    <w:name w:val="No Spacing"/>
    <w:link w:val="NoSpacingChar"/>
    <w:uiPriority w:val="1"/>
    <w:qFormat/>
    <w:rsid w:val="006647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47AA"/>
    <w:rPr>
      <w:rFonts w:eastAsiaTheme="minorEastAsia"/>
      <w:lang w:val="en-US"/>
    </w:rPr>
  </w:style>
  <w:style w:type="character" w:styleId="Hyperlink">
    <w:name w:val="Hyperlink"/>
    <w:basedOn w:val="DefaultParagraphFont"/>
    <w:uiPriority w:val="99"/>
    <w:unhideWhenUsed/>
    <w:rsid w:val="006647AA"/>
    <w:rPr>
      <w:color w:val="6BC9C8" w:themeColor="hyperlink"/>
      <w:u w:val="single"/>
    </w:rPr>
  </w:style>
  <w:style w:type="table" w:styleId="TableGrid">
    <w:name w:val="Table Grid"/>
    <w:basedOn w:val="TableNormal"/>
    <w:uiPriority w:val="39"/>
    <w:rsid w:val="0052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23CF2"/>
    <w:pPr>
      <w:spacing w:after="0" w:line="240" w:lineRule="auto"/>
    </w:pPr>
    <w:tblPr>
      <w:tblStyleRowBandSize w:val="1"/>
      <w:tblStyleColBandSize w:val="1"/>
      <w:tblBorders>
        <w:top w:val="single" w:sz="4" w:space="0" w:color="FCC976" w:themeColor="accent1" w:themeTint="99"/>
        <w:left w:val="single" w:sz="4" w:space="0" w:color="FCC976" w:themeColor="accent1" w:themeTint="99"/>
        <w:bottom w:val="single" w:sz="4" w:space="0" w:color="FCC976" w:themeColor="accent1" w:themeTint="99"/>
        <w:right w:val="single" w:sz="4" w:space="0" w:color="FCC976" w:themeColor="accent1" w:themeTint="99"/>
        <w:insideH w:val="single" w:sz="4" w:space="0" w:color="FCC976" w:themeColor="accent1" w:themeTint="99"/>
        <w:insideV w:val="single" w:sz="4" w:space="0" w:color="FCC9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D1" w:themeFill="accent1" w:themeFillTint="33"/>
      </w:tcPr>
    </w:tblStylePr>
    <w:tblStylePr w:type="band1Horz">
      <w:tblPr/>
      <w:tcPr>
        <w:shd w:val="clear" w:color="auto" w:fill="FEEDD1" w:themeFill="accent1" w:themeFillTint="33"/>
      </w:tcPr>
    </w:tblStylePr>
    <w:tblStylePr w:type="neCell">
      <w:tblPr/>
      <w:tcPr>
        <w:tcBorders>
          <w:bottom w:val="single" w:sz="4" w:space="0" w:color="FCC976" w:themeColor="accent1" w:themeTint="99"/>
        </w:tcBorders>
      </w:tcPr>
    </w:tblStylePr>
    <w:tblStylePr w:type="nwCell">
      <w:tblPr/>
      <w:tcPr>
        <w:tcBorders>
          <w:bottom w:val="single" w:sz="4" w:space="0" w:color="FCC976" w:themeColor="accent1" w:themeTint="99"/>
        </w:tcBorders>
      </w:tcPr>
    </w:tblStylePr>
    <w:tblStylePr w:type="seCell">
      <w:tblPr/>
      <w:tcPr>
        <w:tcBorders>
          <w:top w:val="single" w:sz="4" w:space="0" w:color="FCC976" w:themeColor="accent1" w:themeTint="99"/>
        </w:tcBorders>
      </w:tcPr>
    </w:tblStylePr>
    <w:tblStylePr w:type="swCell">
      <w:tblPr/>
      <w:tcPr>
        <w:tcBorders>
          <w:top w:val="single" w:sz="4" w:space="0" w:color="FCC976" w:themeColor="accent1" w:themeTint="99"/>
        </w:tcBorders>
      </w:tcPr>
    </w:tblStylePr>
  </w:style>
  <w:style w:type="table" w:styleId="GridTable5Dark-Accent1">
    <w:name w:val="Grid Table 5 Dark Accent 1"/>
    <w:aliases w:val="QCOSS table"/>
    <w:basedOn w:val="TableNormal"/>
    <w:uiPriority w:val="50"/>
    <w:rsid w:val="005D1D20"/>
    <w:pPr>
      <w:spacing w:after="0" w:line="240" w:lineRule="auto"/>
    </w:pPr>
    <w:rPr>
      <w:color w:val="2A3648" w:themeColor="text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1" w:themeFill="accent1" w:themeFillTint="33"/>
    </w:tcPr>
    <w:tblStylePr w:type="firstRow">
      <w:rPr>
        <w:b/>
        <w:bCs/>
        <w:color w:val="2A3648" w:themeColor="text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B" w:themeFill="accent1"/>
      </w:tcPr>
    </w:tblStylePr>
    <w:tblStylePr w:type="lastRow">
      <w:rPr>
        <w:b/>
        <w:bCs/>
        <w:color w:val="2A3648" w:themeColor="text2"/>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B" w:themeFill="accent1"/>
      </w:tcPr>
    </w:tblStylePr>
    <w:tblStylePr w:type="firstCol">
      <w:rPr>
        <w:b/>
        <w:bCs/>
        <w:color w:val="2A3648" w:themeColor="text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B" w:themeFill="accent1"/>
      </w:tcPr>
    </w:tblStylePr>
    <w:tblStylePr w:type="lastCol">
      <w:rPr>
        <w:b/>
        <w:bCs/>
        <w:color w:val="2A3648" w:themeColor="text2"/>
      </w:rPr>
      <w:tblPr/>
      <w:tcPr>
        <w:shd w:val="clear" w:color="auto" w:fill="FDDBA3" w:themeFill="accent1" w:themeFillTint="66"/>
      </w:tcPr>
    </w:tblStylePr>
    <w:tblStylePr w:type="band1Vert">
      <w:tblPr/>
      <w:tcPr>
        <w:shd w:val="clear" w:color="auto" w:fill="FDDBA3" w:themeFill="accent1" w:themeFillTint="66"/>
      </w:tcPr>
    </w:tblStylePr>
    <w:tblStylePr w:type="band1Horz">
      <w:tblPr/>
      <w:tcPr>
        <w:shd w:val="clear" w:color="auto" w:fill="FDDBA3" w:themeFill="accent1" w:themeFillTint="66"/>
      </w:tcPr>
    </w:tblStylePr>
  </w:style>
  <w:style w:type="paragraph" w:styleId="TOCHeading">
    <w:name w:val="TOC Heading"/>
    <w:basedOn w:val="Heading1"/>
    <w:next w:val="Normal"/>
    <w:uiPriority w:val="39"/>
    <w:unhideWhenUsed/>
    <w:rsid w:val="002E2076"/>
    <w:pPr>
      <w:outlineLvl w:val="9"/>
    </w:pPr>
    <w:rPr>
      <w:b w:val="0"/>
      <w:color w:val="CA7F04" w:themeColor="accent1" w:themeShade="BF"/>
      <w:sz w:val="32"/>
    </w:rPr>
  </w:style>
  <w:style w:type="paragraph" w:styleId="TOC2">
    <w:name w:val="toc 2"/>
    <w:basedOn w:val="Normal"/>
    <w:next w:val="Normal"/>
    <w:autoRedefine/>
    <w:uiPriority w:val="39"/>
    <w:unhideWhenUsed/>
    <w:rsid w:val="002E2076"/>
    <w:pPr>
      <w:spacing w:after="100"/>
      <w:ind w:left="220"/>
    </w:pPr>
  </w:style>
  <w:style w:type="paragraph" w:styleId="TOC1">
    <w:name w:val="toc 1"/>
    <w:basedOn w:val="Normal"/>
    <w:next w:val="Normal"/>
    <w:autoRedefine/>
    <w:uiPriority w:val="39"/>
    <w:unhideWhenUsed/>
    <w:rsid w:val="002E2076"/>
    <w:pPr>
      <w:spacing w:after="100"/>
    </w:pPr>
  </w:style>
  <w:style w:type="character" w:customStyle="1" w:styleId="Heading3Char">
    <w:name w:val="Heading 3 Char"/>
    <w:basedOn w:val="DefaultParagraphFont"/>
    <w:link w:val="Heading3"/>
    <w:uiPriority w:val="9"/>
    <w:rsid w:val="00F916BB"/>
    <w:rPr>
      <w:rFonts w:asciiTheme="majorHAnsi" w:eastAsia="Muli" w:hAnsiTheme="majorHAnsi" w:cstheme="majorBidi"/>
      <w:color w:val="2A3648" w:themeColor="text2"/>
      <w:sz w:val="24"/>
      <w:szCs w:val="24"/>
      <w:lang w:eastAsia="en-AU"/>
    </w:rPr>
  </w:style>
  <w:style w:type="paragraph" w:styleId="Caption">
    <w:name w:val="caption"/>
    <w:basedOn w:val="Normal"/>
    <w:next w:val="Normal"/>
    <w:uiPriority w:val="35"/>
    <w:unhideWhenUsed/>
    <w:rsid w:val="001412E5"/>
    <w:pPr>
      <w:spacing w:after="200"/>
    </w:pPr>
    <w:rPr>
      <w:i/>
      <w:iCs/>
      <w:color w:val="2A3648" w:themeColor="text2"/>
      <w:sz w:val="18"/>
      <w:szCs w:val="18"/>
    </w:rPr>
  </w:style>
  <w:style w:type="character" w:styleId="UnresolvedMention">
    <w:name w:val="Unresolved Mention"/>
    <w:basedOn w:val="DefaultParagraphFont"/>
    <w:uiPriority w:val="99"/>
    <w:semiHidden/>
    <w:unhideWhenUsed/>
    <w:rsid w:val="00C0516E"/>
    <w:rPr>
      <w:color w:val="605E5C"/>
      <w:shd w:val="clear" w:color="auto" w:fill="E1DFDD"/>
    </w:rPr>
  </w:style>
  <w:style w:type="character" w:customStyle="1" w:styleId="Heading4Char">
    <w:name w:val="Heading 4 Char"/>
    <w:basedOn w:val="DefaultParagraphFont"/>
    <w:link w:val="Heading4"/>
    <w:uiPriority w:val="9"/>
    <w:rsid w:val="007E6BB9"/>
    <w:rPr>
      <w:rFonts w:ascii="Arial" w:eastAsiaTheme="majorEastAsia" w:hAnsi="Arial" w:cs="Arial"/>
      <w:b/>
      <w:iCs/>
      <w:sz w:val="20"/>
      <w:szCs w:val="20"/>
      <w:lang w:eastAsia="en-AU"/>
    </w:rPr>
  </w:style>
  <w:style w:type="paragraph" w:styleId="ListBullet">
    <w:name w:val="List Bullet"/>
    <w:basedOn w:val="Normal"/>
    <w:uiPriority w:val="99"/>
    <w:semiHidden/>
    <w:unhideWhenUsed/>
    <w:rsid w:val="007E6BB9"/>
    <w:pPr>
      <w:numPr>
        <w:numId w:val="1"/>
      </w:numPr>
      <w:contextualSpacing/>
    </w:pPr>
  </w:style>
  <w:style w:type="paragraph" w:customStyle="1" w:styleId="CoverDocumentTitle">
    <w:name w:val="Cover Document Title"/>
    <w:basedOn w:val="Title"/>
    <w:next w:val="Heading1"/>
    <w:qFormat/>
    <w:rsid w:val="007E6BB9"/>
    <w:pPr>
      <w:spacing w:before="240"/>
    </w:pPr>
    <w:rPr>
      <w:rFonts w:ascii="Arial" w:hAnsi="Arial" w:cs="Arial"/>
      <w:b w:val="0"/>
      <w:sz w:val="90"/>
      <w:szCs w:val="90"/>
    </w:rPr>
  </w:style>
  <w:style w:type="table" w:styleId="ListTable2">
    <w:name w:val="List Table 2"/>
    <w:basedOn w:val="TableNormal"/>
    <w:uiPriority w:val="47"/>
    <w:rsid w:val="003203A8"/>
    <w:pPr>
      <w:spacing w:after="0" w:line="240" w:lineRule="auto"/>
    </w:pPr>
    <w:tblPr>
      <w:tblStyleRowBandSize w:val="1"/>
      <w:tblStyleColBandSize w:val="1"/>
      <w:tblBorders>
        <w:top w:val="single" w:sz="4" w:space="0" w:color="6881A7" w:themeColor="text1" w:themeTint="99"/>
        <w:bottom w:val="single" w:sz="4" w:space="0" w:color="6881A7" w:themeColor="text1" w:themeTint="99"/>
        <w:insideH w:val="single" w:sz="4" w:space="0" w:color="6881A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5E1" w:themeFill="text1" w:themeFillTint="33"/>
      </w:tcPr>
    </w:tblStylePr>
    <w:tblStylePr w:type="band1Horz">
      <w:tblPr/>
      <w:tcPr>
        <w:shd w:val="clear" w:color="auto" w:fill="CCD5E1" w:themeFill="text1" w:themeFillTint="33"/>
      </w:tcPr>
    </w:tblStylePr>
  </w:style>
  <w:style w:type="table" w:styleId="PlainTable2">
    <w:name w:val="Plain Table 2"/>
    <w:basedOn w:val="TableNormal"/>
    <w:uiPriority w:val="42"/>
    <w:rsid w:val="003203A8"/>
    <w:pPr>
      <w:spacing w:after="0" w:line="240" w:lineRule="auto"/>
    </w:pPr>
    <w:tblPr>
      <w:tblStyleRowBandSize w:val="1"/>
      <w:tblStyleColBandSize w:val="1"/>
      <w:tblBorders>
        <w:top w:val="single" w:sz="4" w:space="0" w:color="8196B5" w:themeColor="text1" w:themeTint="80"/>
        <w:bottom w:val="single" w:sz="4" w:space="0" w:color="8196B5" w:themeColor="text1" w:themeTint="80"/>
      </w:tblBorders>
    </w:tblPr>
    <w:tblStylePr w:type="firstRow">
      <w:rPr>
        <w:b/>
        <w:bCs/>
      </w:rPr>
      <w:tblPr/>
      <w:tcPr>
        <w:tcBorders>
          <w:bottom w:val="single" w:sz="4" w:space="0" w:color="8196B5" w:themeColor="text1" w:themeTint="80"/>
        </w:tcBorders>
      </w:tcPr>
    </w:tblStylePr>
    <w:tblStylePr w:type="lastRow">
      <w:rPr>
        <w:b/>
        <w:bCs/>
      </w:rPr>
      <w:tblPr/>
      <w:tcPr>
        <w:tcBorders>
          <w:top w:val="single" w:sz="4" w:space="0" w:color="8196B5" w:themeColor="text1" w:themeTint="80"/>
        </w:tcBorders>
      </w:tcPr>
    </w:tblStylePr>
    <w:tblStylePr w:type="firstCol">
      <w:rPr>
        <w:b/>
        <w:bCs/>
      </w:rPr>
    </w:tblStylePr>
    <w:tblStylePr w:type="lastCol">
      <w:rPr>
        <w:b/>
        <w:bCs/>
      </w:rPr>
    </w:tblStylePr>
    <w:tblStylePr w:type="band1Vert">
      <w:tblPr/>
      <w:tcPr>
        <w:tcBorders>
          <w:left w:val="single" w:sz="4" w:space="0" w:color="8196B5" w:themeColor="text1" w:themeTint="80"/>
          <w:right w:val="single" w:sz="4" w:space="0" w:color="8196B5" w:themeColor="text1" w:themeTint="80"/>
        </w:tcBorders>
      </w:tcPr>
    </w:tblStylePr>
    <w:tblStylePr w:type="band2Vert">
      <w:tblPr/>
      <w:tcPr>
        <w:tcBorders>
          <w:left w:val="single" w:sz="4" w:space="0" w:color="8196B5" w:themeColor="text1" w:themeTint="80"/>
          <w:right w:val="single" w:sz="4" w:space="0" w:color="8196B5" w:themeColor="text1" w:themeTint="80"/>
        </w:tcBorders>
      </w:tcPr>
    </w:tblStylePr>
    <w:tblStylePr w:type="band1Horz">
      <w:tblPr/>
      <w:tcPr>
        <w:tcBorders>
          <w:top w:val="single" w:sz="4" w:space="0" w:color="8196B5" w:themeColor="text1" w:themeTint="80"/>
          <w:bottom w:val="single" w:sz="4" w:space="0" w:color="8196B5" w:themeColor="text1" w:themeTint="80"/>
        </w:tcBorders>
      </w:tcPr>
    </w:tblStylePr>
  </w:style>
  <w:style w:type="paragraph" w:styleId="ListParagraph">
    <w:name w:val="List Paragraph"/>
    <w:aliases w:val="Bulleted List"/>
    <w:basedOn w:val="Normal"/>
    <w:uiPriority w:val="34"/>
    <w:qFormat/>
    <w:rsid w:val="004B621B"/>
    <w:pPr>
      <w:numPr>
        <w:numId w:val="9"/>
      </w:numPr>
      <w:contextualSpacing/>
    </w:pPr>
  </w:style>
  <w:style w:type="paragraph" w:customStyle="1" w:styleId="Tablecaption">
    <w:name w:val="Table caption"/>
    <w:basedOn w:val="ListParagraph"/>
    <w:next w:val="Normal"/>
    <w:rsid w:val="007B1552"/>
    <w:pPr>
      <w:numPr>
        <w:numId w:val="2"/>
      </w:numPr>
      <w:spacing w:after="0"/>
      <w:ind w:left="357" w:hanging="357"/>
    </w:pPr>
    <w:rPr>
      <w:b/>
      <w:color w:val="4D4D4D"/>
    </w:rPr>
  </w:style>
  <w:style w:type="paragraph" w:customStyle="1" w:styleId="Figurecaption">
    <w:name w:val="Figure caption"/>
    <w:basedOn w:val="ListParagraph"/>
    <w:next w:val="Normal"/>
    <w:rsid w:val="007B1552"/>
    <w:pPr>
      <w:numPr>
        <w:numId w:val="3"/>
      </w:numPr>
      <w:ind w:left="357" w:hanging="357"/>
    </w:pPr>
    <w:rPr>
      <w:b/>
      <w:color w:val="4D4D4D"/>
    </w:rPr>
  </w:style>
  <w:style w:type="paragraph" w:customStyle="1" w:styleId="NumberedList">
    <w:name w:val="Numbered List"/>
    <w:basedOn w:val="ListParagraph"/>
    <w:rsid w:val="007B1552"/>
    <w:pPr>
      <w:numPr>
        <w:numId w:val="4"/>
      </w:numPr>
    </w:pPr>
  </w:style>
  <w:style w:type="character" w:styleId="CommentReference">
    <w:name w:val="annotation reference"/>
    <w:basedOn w:val="DefaultParagraphFont"/>
    <w:uiPriority w:val="99"/>
    <w:semiHidden/>
    <w:unhideWhenUsed/>
    <w:rsid w:val="00BA0AB4"/>
    <w:rPr>
      <w:sz w:val="16"/>
      <w:szCs w:val="16"/>
    </w:rPr>
  </w:style>
  <w:style w:type="paragraph" w:styleId="CommentText">
    <w:name w:val="annotation text"/>
    <w:basedOn w:val="Normal"/>
    <w:link w:val="CommentTextChar"/>
    <w:uiPriority w:val="99"/>
    <w:unhideWhenUsed/>
    <w:rsid w:val="00BA0AB4"/>
  </w:style>
  <w:style w:type="character" w:customStyle="1" w:styleId="CommentTextChar">
    <w:name w:val="Comment Text Char"/>
    <w:basedOn w:val="DefaultParagraphFont"/>
    <w:link w:val="CommentText"/>
    <w:uiPriority w:val="99"/>
    <w:rsid w:val="00BA0AB4"/>
    <w:rPr>
      <w:rFonts w:ascii="Arial" w:eastAsia="Arial" w:hAnsi="Arial" w:cs="Arial"/>
      <w:sz w:val="20"/>
      <w:szCs w:val="20"/>
      <w:lang w:val="en-US" w:eastAsia="en-AU"/>
    </w:rPr>
  </w:style>
  <w:style w:type="paragraph" w:styleId="CommentSubject">
    <w:name w:val="annotation subject"/>
    <w:basedOn w:val="CommentText"/>
    <w:next w:val="CommentText"/>
    <w:link w:val="CommentSubjectChar"/>
    <w:uiPriority w:val="99"/>
    <w:semiHidden/>
    <w:unhideWhenUsed/>
    <w:rsid w:val="002B15B1"/>
    <w:rPr>
      <w:b/>
      <w:bCs/>
    </w:rPr>
  </w:style>
  <w:style w:type="character" w:customStyle="1" w:styleId="CommentSubjectChar">
    <w:name w:val="Comment Subject Char"/>
    <w:basedOn w:val="CommentTextChar"/>
    <w:link w:val="CommentSubject"/>
    <w:uiPriority w:val="99"/>
    <w:semiHidden/>
    <w:rsid w:val="002B15B1"/>
    <w:rPr>
      <w:rFonts w:ascii="Arial" w:eastAsia="Arial" w:hAnsi="Arial" w:cs="Arial"/>
      <w:b/>
      <w:bCs/>
      <w:sz w:val="20"/>
      <w:szCs w:val="20"/>
      <w:lang w:val="en-US" w:eastAsia="en-AU"/>
    </w:rPr>
  </w:style>
  <w:style w:type="paragraph" w:styleId="FootnoteText">
    <w:name w:val="footnote text"/>
    <w:basedOn w:val="Normal"/>
    <w:link w:val="FootnoteTextChar"/>
    <w:uiPriority w:val="99"/>
    <w:unhideWhenUsed/>
    <w:rsid w:val="00DA05C9"/>
    <w:pPr>
      <w:spacing w:after="0"/>
    </w:pPr>
  </w:style>
  <w:style w:type="character" w:customStyle="1" w:styleId="FootnoteTextChar">
    <w:name w:val="Footnote Text Char"/>
    <w:basedOn w:val="DefaultParagraphFont"/>
    <w:link w:val="FootnoteText"/>
    <w:uiPriority w:val="99"/>
    <w:rsid w:val="00DA05C9"/>
    <w:rPr>
      <w:rFonts w:ascii="Arial" w:eastAsia="Arial" w:hAnsi="Arial" w:cs="Arial"/>
      <w:sz w:val="20"/>
      <w:szCs w:val="20"/>
      <w:lang w:val="en-US" w:eastAsia="en-AU"/>
    </w:rPr>
  </w:style>
  <w:style w:type="character" w:styleId="FootnoteReference">
    <w:name w:val="footnote reference"/>
    <w:basedOn w:val="DefaultParagraphFont"/>
    <w:uiPriority w:val="99"/>
    <w:semiHidden/>
    <w:unhideWhenUsed/>
    <w:rsid w:val="00DA05C9"/>
    <w:rPr>
      <w:vertAlign w:val="superscript"/>
    </w:rPr>
  </w:style>
  <w:style w:type="character" w:styleId="FollowedHyperlink">
    <w:name w:val="FollowedHyperlink"/>
    <w:basedOn w:val="DefaultParagraphFont"/>
    <w:uiPriority w:val="99"/>
    <w:semiHidden/>
    <w:unhideWhenUsed/>
    <w:rsid w:val="00F750E3"/>
    <w:rPr>
      <w:color w:val="9CC3E5" w:themeColor="followedHyperlink"/>
      <w:u w:val="single"/>
    </w:rPr>
  </w:style>
  <w:style w:type="paragraph" w:customStyle="1" w:styleId="Link">
    <w:name w:val="Link"/>
    <w:basedOn w:val="Normal"/>
    <w:link w:val="LinkChar"/>
    <w:rsid w:val="00C51D57"/>
    <w:pPr>
      <w:spacing w:before="200" w:after="200"/>
    </w:pPr>
    <w:rPr>
      <w:color w:val="2D7E7D" w:themeColor="accent6" w:themeShade="BF"/>
    </w:rPr>
  </w:style>
  <w:style w:type="character" w:customStyle="1" w:styleId="LinkChar">
    <w:name w:val="Link Char"/>
    <w:basedOn w:val="DefaultParagraphFont"/>
    <w:link w:val="Link"/>
    <w:rsid w:val="00C51D57"/>
    <w:rPr>
      <w:rFonts w:ascii="Arial" w:eastAsia="Arial" w:hAnsi="Arial" w:cs="Arial"/>
      <w:color w:val="2D7E7D" w:themeColor="accent6" w:themeShade="BF"/>
      <w:sz w:val="20"/>
      <w:szCs w:val="20"/>
      <w:lang w:val="en-US" w:eastAsia="en-AU"/>
    </w:rPr>
  </w:style>
  <w:style w:type="paragraph" w:customStyle="1" w:styleId="Table">
    <w:name w:val="Table"/>
    <w:basedOn w:val="Normal"/>
    <w:link w:val="TableChar"/>
    <w:qFormat/>
    <w:rsid w:val="00A4607A"/>
    <w:pPr>
      <w:spacing w:before="200" w:after="200"/>
    </w:pPr>
  </w:style>
  <w:style w:type="character" w:customStyle="1" w:styleId="TableChar">
    <w:name w:val="Table Char"/>
    <w:basedOn w:val="DefaultParagraphFont"/>
    <w:link w:val="Table"/>
    <w:rsid w:val="00A4607A"/>
    <w:rPr>
      <w:rFonts w:ascii="Arial" w:eastAsia="Arial" w:hAnsi="Arial" w:cs="Arial"/>
      <w:sz w:val="20"/>
      <w:szCs w:val="20"/>
      <w:lang w:val="en-US" w:eastAsia="en-AU"/>
    </w:rPr>
  </w:style>
  <w:style w:type="table" w:styleId="GridTable1Light-Accent3">
    <w:name w:val="Grid Table 1 Light Accent 3"/>
    <w:basedOn w:val="TableNormal"/>
    <w:uiPriority w:val="46"/>
    <w:rsid w:val="00FB55A8"/>
    <w:pPr>
      <w:spacing w:after="0" w:line="240" w:lineRule="auto"/>
    </w:pPr>
    <w:tblPr>
      <w:tblStyleRowBandSize w:val="1"/>
      <w:tblStyleColBandSize w:val="1"/>
      <w:tblBorders>
        <w:top w:val="single" w:sz="4" w:space="0" w:color="C3E9E8" w:themeColor="accent3" w:themeTint="66"/>
        <w:left w:val="single" w:sz="4" w:space="0" w:color="C3E9E8" w:themeColor="accent3" w:themeTint="66"/>
        <w:bottom w:val="single" w:sz="4" w:space="0" w:color="C3E9E8" w:themeColor="accent3" w:themeTint="66"/>
        <w:right w:val="single" w:sz="4" w:space="0" w:color="C3E9E8" w:themeColor="accent3" w:themeTint="66"/>
        <w:insideH w:val="single" w:sz="4" w:space="0" w:color="C3E9E8" w:themeColor="accent3" w:themeTint="66"/>
        <w:insideV w:val="single" w:sz="4" w:space="0" w:color="C3E9E8" w:themeColor="accent3" w:themeTint="66"/>
      </w:tblBorders>
    </w:tblPr>
    <w:tblStylePr w:type="firstRow">
      <w:rPr>
        <w:b/>
        <w:bCs/>
      </w:rPr>
      <w:tblPr/>
      <w:tcPr>
        <w:tcBorders>
          <w:bottom w:val="single" w:sz="12" w:space="0" w:color="A6DEDE" w:themeColor="accent3" w:themeTint="99"/>
        </w:tcBorders>
      </w:tcPr>
    </w:tblStylePr>
    <w:tblStylePr w:type="lastRow">
      <w:rPr>
        <w:b/>
        <w:bCs/>
      </w:rPr>
      <w:tblPr/>
      <w:tcPr>
        <w:tcBorders>
          <w:top w:val="double" w:sz="2" w:space="0" w:color="A6DEDE" w:themeColor="accent3" w:themeTint="99"/>
        </w:tcBorders>
      </w:tcPr>
    </w:tblStylePr>
    <w:tblStylePr w:type="firstCol">
      <w:rPr>
        <w:b/>
        <w:bCs/>
      </w:rPr>
    </w:tblStylePr>
    <w:tblStylePr w:type="lastCol">
      <w:rPr>
        <w:b/>
        <w:bCs/>
      </w:rPr>
    </w:tblStylePr>
  </w:style>
  <w:style w:type="table" w:styleId="ListTable4">
    <w:name w:val="List Table 4"/>
    <w:basedOn w:val="TableNormal"/>
    <w:uiPriority w:val="49"/>
    <w:rsid w:val="00FB55A8"/>
    <w:pPr>
      <w:spacing w:after="0" w:line="240" w:lineRule="auto"/>
    </w:pPr>
    <w:tblPr>
      <w:tblStyleRowBandSize w:val="1"/>
      <w:tblStyleColBandSize w:val="1"/>
      <w:tblBorders>
        <w:top w:val="single" w:sz="4" w:space="0" w:color="6881A7" w:themeColor="text1" w:themeTint="99"/>
        <w:left w:val="single" w:sz="4" w:space="0" w:color="6881A7" w:themeColor="text1" w:themeTint="99"/>
        <w:bottom w:val="single" w:sz="4" w:space="0" w:color="6881A7" w:themeColor="text1" w:themeTint="99"/>
        <w:right w:val="single" w:sz="4" w:space="0" w:color="6881A7" w:themeColor="text1" w:themeTint="99"/>
        <w:insideH w:val="single" w:sz="4" w:space="0" w:color="6881A7" w:themeColor="text1" w:themeTint="99"/>
      </w:tblBorders>
    </w:tblPr>
    <w:tblStylePr w:type="firstRow">
      <w:rPr>
        <w:b/>
        <w:bCs/>
        <w:color w:val="FFFFFF" w:themeColor="background1"/>
      </w:rPr>
      <w:tblPr/>
      <w:tcPr>
        <w:tcBorders>
          <w:top w:val="single" w:sz="4" w:space="0" w:color="2A3648" w:themeColor="text1"/>
          <w:left w:val="single" w:sz="4" w:space="0" w:color="2A3648" w:themeColor="text1"/>
          <w:bottom w:val="single" w:sz="4" w:space="0" w:color="2A3648" w:themeColor="text1"/>
          <w:right w:val="single" w:sz="4" w:space="0" w:color="2A3648" w:themeColor="text1"/>
          <w:insideH w:val="nil"/>
        </w:tcBorders>
        <w:shd w:val="clear" w:color="auto" w:fill="2A3648" w:themeFill="text1"/>
      </w:tcPr>
    </w:tblStylePr>
    <w:tblStylePr w:type="lastRow">
      <w:rPr>
        <w:b/>
        <w:bCs/>
      </w:rPr>
      <w:tblPr/>
      <w:tcPr>
        <w:tcBorders>
          <w:top w:val="double" w:sz="4" w:space="0" w:color="6881A7" w:themeColor="text1" w:themeTint="99"/>
        </w:tcBorders>
      </w:tcPr>
    </w:tblStylePr>
    <w:tblStylePr w:type="firstCol">
      <w:rPr>
        <w:b/>
        <w:bCs/>
      </w:rPr>
    </w:tblStylePr>
    <w:tblStylePr w:type="lastCol">
      <w:rPr>
        <w:b/>
        <w:bCs/>
      </w:rPr>
    </w:tblStylePr>
    <w:tblStylePr w:type="band1Vert">
      <w:tblPr/>
      <w:tcPr>
        <w:shd w:val="clear" w:color="auto" w:fill="CCD5E1" w:themeFill="text1" w:themeFillTint="33"/>
      </w:tcPr>
    </w:tblStylePr>
    <w:tblStylePr w:type="band1Horz">
      <w:tblPr/>
      <w:tcPr>
        <w:shd w:val="clear" w:color="auto" w:fill="CCD5E1" w:themeFill="text1" w:themeFillTint="33"/>
      </w:tcPr>
    </w:tblStylePr>
  </w:style>
  <w:style w:type="table" w:styleId="GridTable5Dark-Accent3">
    <w:name w:val="Grid Table 5 Dark Accent 3"/>
    <w:basedOn w:val="TableNormal"/>
    <w:uiPriority w:val="50"/>
    <w:rsid w:val="00FB55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4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C9C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C9C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C9C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C9C8" w:themeFill="accent3"/>
      </w:tcPr>
    </w:tblStylePr>
    <w:tblStylePr w:type="band1Vert">
      <w:tblPr/>
      <w:tcPr>
        <w:shd w:val="clear" w:color="auto" w:fill="C3E9E8" w:themeFill="accent3" w:themeFillTint="66"/>
      </w:tcPr>
    </w:tblStylePr>
    <w:tblStylePr w:type="band1Horz">
      <w:tblPr/>
      <w:tcPr>
        <w:shd w:val="clear" w:color="auto" w:fill="C3E9E8" w:themeFill="accent3" w:themeFillTint="66"/>
      </w:tcPr>
    </w:tblStylePr>
  </w:style>
  <w:style w:type="table" w:styleId="GridTable4-Accent6">
    <w:name w:val="Grid Table 4 Accent 6"/>
    <w:basedOn w:val="TableNormal"/>
    <w:uiPriority w:val="49"/>
    <w:rsid w:val="00FB55A8"/>
    <w:pPr>
      <w:spacing w:after="0" w:line="240" w:lineRule="auto"/>
    </w:pPr>
    <w:tblPr>
      <w:tblStyleRowBandSize w:val="1"/>
      <w:tblStyleColBandSize w:val="1"/>
      <w:tblBorders>
        <w:top w:val="single" w:sz="4" w:space="0" w:color="83D2D1" w:themeColor="accent6" w:themeTint="99"/>
        <w:left w:val="single" w:sz="4" w:space="0" w:color="83D2D1" w:themeColor="accent6" w:themeTint="99"/>
        <w:bottom w:val="single" w:sz="4" w:space="0" w:color="83D2D1" w:themeColor="accent6" w:themeTint="99"/>
        <w:right w:val="single" w:sz="4" w:space="0" w:color="83D2D1" w:themeColor="accent6" w:themeTint="99"/>
        <w:insideH w:val="single" w:sz="4" w:space="0" w:color="83D2D1" w:themeColor="accent6" w:themeTint="99"/>
        <w:insideV w:val="single" w:sz="4" w:space="0" w:color="83D2D1" w:themeColor="accent6" w:themeTint="99"/>
      </w:tblBorders>
    </w:tblPr>
    <w:tblStylePr w:type="firstRow">
      <w:rPr>
        <w:b/>
        <w:bCs/>
        <w:color w:val="FFFFFF" w:themeColor="background1"/>
      </w:rPr>
      <w:tblPr/>
      <w:tcPr>
        <w:tcBorders>
          <w:top w:val="single" w:sz="4" w:space="0" w:color="3DA9A8" w:themeColor="accent6"/>
          <w:left w:val="single" w:sz="4" w:space="0" w:color="3DA9A8" w:themeColor="accent6"/>
          <w:bottom w:val="single" w:sz="4" w:space="0" w:color="3DA9A8" w:themeColor="accent6"/>
          <w:right w:val="single" w:sz="4" w:space="0" w:color="3DA9A8" w:themeColor="accent6"/>
          <w:insideH w:val="nil"/>
          <w:insideV w:val="nil"/>
        </w:tcBorders>
        <w:shd w:val="clear" w:color="auto" w:fill="3DA9A8" w:themeFill="accent6"/>
      </w:tcPr>
    </w:tblStylePr>
    <w:tblStylePr w:type="lastRow">
      <w:rPr>
        <w:b/>
        <w:bCs/>
      </w:rPr>
      <w:tblPr/>
      <w:tcPr>
        <w:tcBorders>
          <w:top w:val="double" w:sz="4" w:space="0" w:color="3DA9A8" w:themeColor="accent6"/>
        </w:tcBorders>
      </w:tcPr>
    </w:tblStylePr>
    <w:tblStylePr w:type="firstCol">
      <w:rPr>
        <w:b/>
        <w:bCs/>
      </w:rPr>
    </w:tblStylePr>
    <w:tblStylePr w:type="lastCol">
      <w:rPr>
        <w:b/>
        <w:bCs/>
      </w:rPr>
    </w:tblStylePr>
    <w:tblStylePr w:type="band1Vert">
      <w:tblPr/>
      <w:tcPr>
        <w:shd w:val="clear" w:color="auto" w:fill="D5F0EF" w:themeFill="accent6" w:themeFillTint="33"/>
      </w:tcPr>
    </w:tblStylePr>
    <w:tblStylePr w:type="band1Horz">
      <w:tblPr/>
      <w:tcPr>
        <w:shd w:val="clear" w:color="auto" w:fill="D5F0EF" w:themeFill="accent6" w:themeFillTint="33"/>
      </w:tcPr>
    </w:tblStylePr>
  </w:style>
  <w:style w:type="table" w:styleId="GridTable4-Accent3">
    <w:name w:val="Grid Table 4 Accent 3"/>
    <w:basedOn w:val="TableNormal"/>
    <w:uiPriority w:val="49"/>
    <w:rsid w:val="00FB55A8"/>
    <w:pPr>
      <w:spacing w:after="0" w:line="240" w:lineRule="auto"/>
    </w:pPr>
    <w:tblPr>
      <w:tblStyleRowBandSize w:val="1"/>
      <w:tblStyleColBandSize w:val="1"/>
      <w:tblBorders>
        <w:top w:val="single" w:sz="4" w:space="0" w:color="A6DEDE" w:themeColor="accent3" w:themeTint="99"/>
        <w:left w:val="single" w:sz="4" w:space="0" w:color="A6DEDE" w:themeColor="accent3" w:themeTint="99"/>
        <w:bottom w:val="single" w:sz="4" w:space="0" w:color="A6DEDE" w:themeColor="accent3" w:themeTint="99"/>
        <w:right w:val="single" w:sz="4" w:space="0" w:color="A6DEDE" w:themeColor="accent3" w:themeTint="99"/>
        <w:insideH w:val="single" w:sz="4" w:space="0" w:color="A6DEDE" w:themeColor="accent3" w:themeTint="99"/>
        <w:insideV w:val="single" w:sz="4" w:space="0" w:color="A6DEDE" w:themeColor="accent3" w:themeTint="99"/>
      </w:tblBorders>
    </w:tblPr>
    <w:tblStylePr w:type="firstRow">
      <w:rPr>
        <w:b/>
        <w:bCs/>
        <w:color w:val="FFFFFF" w:themeColor="background1"/>
      </w:rPr>
      <w:tblPr/>
      <w:tcPr>
        <w:tcBorders>
          <w:top w:val="single" w:sz="4" w:space="0" w:color="6BC9C8" w:themeColor="accent3"/>
          <w:left w:val="single" w:sz="4" w:space="0" w:color="6BC9C8" w:themeColor="accent3"/>
          <w:bottom w:val="single" w:sz="4" w:space="0" w:color="6BC9C8" w:themeColor="accent3"/>
          <w:right w:val="single" w:sz="4" w:space="0" w:color="6BC9C8" w:themeColor="accent3"/>
          <w:insideH w:val="nil"/>
          <w:insideV w:val="nil"/>
        </w:tcBorders>
        <w:shd w:val="clear" w:color="auto" w:fill="6BC9C8" w:themeFill="accent3"/>
      </w:tcPr>
    </w:tblStylePr>
    <w:tblStylePr w:type="lastRow">
      <w:rPr>
        <w:b/>
        <w:bCs/>
      </w:rPr>
      <w:tblPr/>
      <w:tcPr>
        <w:tcBorders>
          <w:top w:val="double" w:sz="4" w:space="0" w:color="6BC9C8" w:themeColor="accent3"/>
        </w:tcBorders>
      </w:tcPr>
    </w:tblStylePr>
    <w:tblStylePr w:type="firstCol">
      <w:rPr>
        <w:b/>
        <w:bCs/>
      </w:rPr>
    </w:tblStylePr>
    <w:tblStylePr w:type="lastCol">
      <w:rPr>
        <w:b/>
        <w:bCs/>
      </w:rPr>
    </w:tblStylePr>
    <w:tblStylePr w:type="band1Vert">
      <w:tblPr/>
      <w:tcPr>
        <w:shd w:val="clear" w:color="auto" w:fill="E1F4F3" w:themeFill="accent3" w:themeFillTint="33"/>
      </w:tcPr>
    </w:tblStylePr>
    <w:tblStylePr w:type="band1Horz">
      <w:tblPr/>
      <w:tcPr>
        <w:shd w:val="clear" w:color="auto" w:fill="E1F4F3" w:themeFill="accent3" w:themeFillTint="33"/>
      </w:tcPr>
    </w:tblStylePr>
  </w:style>
  <w:style w:type="table" w:styleId="GridTable3">
    <w:name w:val="Grid Table 3"/>
    <w:basedOn w:val="TableNormal"/>
    <w:uiPriority w:val="48"/>
    <w:rsid w:val="00FB55A8"/>
    <w:pPr>
      <w:spacing w:after="0" w:line="240" w:lineRule="auto"/>
    </w:pPr>
    <w:tblPr>
      <w:tblStyleRowBandSize w:val="1"/>
      <w:tblStyleColBandSize w:val="1"/>
      <w:tblBorders>
        <w:top w:val="single" w:sz="4" w:space="0" w:color="6881A7" w:themeColor="text1" w:themeTint="99"/>
        <w:left w:val="single" w:sz="4" w:space="0" w:color="6881A7" w:themeColor="text1" w:themeTint="99"/>
        <w:bottom w:val="single" w:sz="4" w:space="0" w:color="6881A7" w:themeColor="text1" w:themeTint="99"/>
        <w:right w:val="single" w:sz="4" w:space="0" w:color="6881A7" w:themeColor="text1" w:themeTint="99"/>
        <w:insideH w:val="single" w:sz="4" w:space="0" w:color="6881A7" w:themeColor="text1" w:themeTint="99"/>
        <w:insideV w:val="single" w:sz="4" w:space="0" w:color="6881A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5E1" w:themeFill="text1" w:themeFillTint="33"/>
      </w:tcPr>
    </w:tblStylePr>
    <w:tblStylePr w:type="band1Horz">
      <w:tblPr/>
      <w:tcPr>
        <w:shd w:val="clear" w:color="auto" w:fill="CCD5E1" w:themeFill="text1" w:themeFillTint="33"/>
      </w:tcPr>
    </w:tblStylePr>
    <w:tblStylePr w:type="neCell">
      <w:tblPr/>
      <w:tcPr>
        <w:tcBorders>
          <w:bottom w:val="single" w:sz="4" w:space="0" w:color="6881A7" w:themeColor="text1" w:themeTint="99"/>
        </w:tcBorders>
      </w:tcPr>
    </w:tblStylePr>
    <w:tblStylePr w:type="nwCell">
      <w:tblPr/>
      <w:tcPr>
        <w:tcBorders>
          <w:bottom w:val="single" w:sz="4" w:space="0" w:color="6881A7" w:themeColor="text1" w:themeTint="99"/>
        </w:tcBorders>
      </w:tcPr>
    </w:tblStylePr>
    <w:tblStylePr w:type="seCell">
      <w:tblPr/>
      <w:tcPr>
        <w:tcBorders>
          <w:top w:val="single" w:sz="4" w:space="0" w:color="6881A7" w:themeColor="text1" w:themeTint="99"/>
        </w:tcBorders>
      </w:tcPr>
    </w:tblStylePr>
    <w:tblStylePr w:type="swCell">
      <w:tblPr/>
      <w:tcPr>
        <w:tcBorders>
          <w:top w:val="single" w:sz="4" w:space="0" w:color="6881A7" w:themeColor="text1" w:themeTint="99"/>
        </w:tcBorders>
      </w:tcPr>
    </w:tblStylePr>
  </w:style>
  <w:style w:type="character" w:styleId="Mention">
    <w:name w:val="Mention"/>
    <w:basedOn w:val="DefaultParagraphFont"/>
    <w:uiPriority w:val="99"/>
    <w:unhideWhenUsed/>
    <w:rsid w:val="00661D0C"/>
    <w:rPr>
      <w:color w:val="2B579A"/>
      <w:shd w:val="clear" w:color="auto" w:fill="E1DFDD"/>
    </w:rPr>
  </w:style>
  <w:style w:type="paragraph" w:customStyle="1" w:styleId="Bulletlist">
    <w:name w:val="Bullet list"/>
    <w:basedOn w:val="ListParagraph"/>
    <w:qFormat/>
    <w:rsid w:val="00F85279"/>
    <w:pPr>
      <w:ind w:left="426"/>
    </w:pPr>
  </w:style>
  <w:style w:type="paragraph" w:styleId="Revision">
    <w:name w:val="Revision"/>
    <w:hidden/>
    <w:uiPriority w:val="99"/>
    <w:semiHidden/>
    <w:rsid w:val="002E341D"/>
    <w:pPr>
      <w:spacing w:after="0" w:line="240" w:lineRule="auto"/>
    </w:pPr>
    <w:rPr>
      <w:rFonts w:eastAsia="Muli" w:cstheme="minorHAns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25967">
      <w:bodyDiv w:val="1"/>
      <w:marLeft w:val="0"/>
      <w:marRight w:val="0"/>
      <w:marTop w:val="0"/>
      <w:marBottom w:val="0"/>
      <w:divBdr>
        <w:top w:val="none" w:sz="0" w:space="0" w:color="auto"/>
        <w:left w:val="none" w:sz="0" w:space="0" w:color="auto"/>
        <w:bottom w:val="none" w:sz="0" w:space="0" w:color="auto"/>
        <w:right w:val="none" w:sz="0" w:space="0" w:color="auto"/>
      </w:divBdr>
    </w:div>
    <w:div w:id="14783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cssds.qld.gov.au/p2i/user-agreement" TargetMode="External"/><Relationship Id="rId21" Type="http://schemas.openxmlformats.org/officeDocument/2006/relationships/hyperlink" Target="https://www.legislation.qld.gov.au/view/html/asmade/act-2020-032" TargetMode="External"/><Relationship Id="rId42" Type="http://schemas.openxmlformats.org/officeDocument/2006/relationships/hyperlink" Target="https://www.legislation.qld.gov.au/view/html/inforce/current/act-1999-010" TargetMode="External"/><Relationship Id="rId47" Type="http://schemas.openxmlformats.org/officeDocument/2006/relationships/hyperlink" Target="https://www.dcssds.qld.gov.au/resources/dcsyw/about-us/funding-grants/specifications/investment-spec-families.pdf" TargetMode="External"/><Relationship Id="rId63" Type="http://schemas.openxmlformats.org/officeDocument/2006/relationships/hyperlink" Target="https://www.publications.qld.gov.au/ckan-publications-attachments-prod/resources/4e633e3b-a367-4f23-b60a-926a100aaab3/hsqf-supplement.pdf?ETag=4aee752f6c4c6d7cee96c55febfcfed6" TargetMode="External"/><Relationship Id="rId68" Type="http://schemas.openxmlformats.org/officeDocument/2006/relationships/hyperlink" Target="https://www.dsdsatsip.qld.gov.au/resources/dsdsatsip/about/funding/agreements/archive/funding-service-details-disability-v1.5.pdf" TargetMode="External"/><Relationship Id="rId84" Type="http://schemas.openxmlformats.org/officeDocument/2006/relationships/fontTable" Target="fontTable.xml"/><Relationship Id="rId16" Type="http://schemas.openxmlformats.org/officeDocument/2006/relationships/hyperlink" Target="https://www.legislation.qld.gov.au/view/pdf/inforce/current/act-1981-074" TargetMode="External"/><Relationship Id="rId11" Type="http://schemas.openxmlformats.org/officeDocument/2006/relationships/hyperlink" Target="https://www.acnc.gov.au/tools/guides/governance-for-good-acncs-guide-for-responsible-people" TargetMode="External"/><Relationship Id="rId32" Type="http://schemas.openxmlformats.org/officeDocument/2006/relationships/hyperlink" Target="https://www.dcssds.qld.gov.au/resources/dcsyw/about-us/funding-grants/agreements/funding-service-details.pdf" TargetMode="External"/><Relationship Id="rId37" Type="http://schemas.openxmlformats.org/officeDocument/2006/relationships/hyperlink" Target="https://www.dcssds.qld.gov.au/resources/dcsyw/about-us/funding-grants/specifications/investment-spec-cp-placements.pdf" TargetMode="External"/><Relationship Id="rId53" Type="http://schemas.openxmlformats.org/officeDocument/2006/relationships/hyperlink" Target="https://www.legislation.qld.gov.au/view/html/inforce/current/act-1999-010" TargetMode="External"/><Relationship Id="rId58" Type="http://schemas.openxmlformats.org/officeDocument/2006/relationships/hyperlink" Target="https://www.legislation.qld.gov.au/view/pdf/2017-06-05/act-2014-026" TargetMode="External"/><Relationship Id="rId74" Type="http://schemas.openxmlformats.org/officeDocument/2006/relationships/hyperlink" Target="https://www.legislation.qld.gov.au/view/html/inforce/current/act-2003-013" TargetMode="External"/><Relationship Id="rId79"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hyperlink" Target="https://www.legislation.qld.gov.au/view/html/inforce/current/act-2019-005" TargetMode="External"/><Relationship Id="rId14" Type="http://schemas.openxmlformats.org/officeDocument/2006/relationships/hyperlink" Target="https://content.nfplaw.org.au/wp-content/uploads/2023/05/New-to-a-Board-or-Committee.pdf?_ga=2.55042667.1102466317.1710453758-899236340.1710453758" TargetMode="External"/><Relationship Id="rId22" Type="http://schemas.openxmlformats.org/officeDocument/2006/relationships/hyperlink" Target="https://www.acnc.gov.au/for-charities/manage-your-charity/governance-hub/governance-standards" TargetMode="External"/><Relationship Id="rId27" Type="http://schemas.openxmlformats.org/officeDocument/2006/relationships/hyperlink" Target="https://www.forgov.qld.gov.au/__data/assets/pdf_file/0028/452782/updatedserviceagreementstandardterms.pdf" TargetMode="External"/><Relationship Id="rId30" Type="http://schemas.openxmlformats.org/officeDocument/2006/relationships/hyperlink" Target="https://www.dcssds.qld.gov.au/resources/dcsyw/about-us/funding-grants/specifications/investment-spec-cp-placements.pdf" TargetMode="External"/><Relationship Id="rId35" Type="http://schemas.openxmlformats.org/officeDocument/2006/relationships/hyperlink" Target="https://www.legislation.qld.gov.au/view/html/inforce/current/act-1999-010" TargetMode="External"/><Relationship Id="rId43" Type="http://schemas.openxmlformats.org/officeDocument/2006/relationships/hyperlink" Target="https://www.legislation.qld.gov.au/view/html/asmade/sl-2023-0105" TargetMode="External"/><Relationship Id="rId48" Type="http://schemas.openxmlformats.org/officeDocument/2006/relationships/hyperlink" Target="https://www.dcssds.qld.gov.au/resources/dcsyw/about-us/funding-grants/specifications/facc-model-guidelines.pdf" TargetMode="External"/><Relationship Id="rId56" Type="http://schemas.openxmlformats.org/officeDocument/2006/relationships/hyperlink" Target="https://www.legislation.qld.gov.au/view/html/inforce/current/act-2019-005" TargetMode="External"/><Relationship Id="rId64" Type="http://schemas.openxmlformats.org/officeDocument/2006/relationships/hyperlink" Target="https://www.publications.qld.gov.au/ckan-publications-attachments-prod/resources/68b6223c-6f48-4dd6-bb2a-cf967d344e8f/investment-spec-svwss.pdf?ETag=330b007816dc4d2714c00f7f2c03d979" TargetMode="External"/><Relationship Id="rId69" Type="http://schemas.openxmlformats.org/officeDocument/2006/relationships/hyperlink" Target="https://www.dcssds.qld.gov.au/resources/dcsyw/about-us/funding-grants/specifications/investment-specifications-individuals.pdf" TargetMode="External"/><Relationship Id="rId77" Type="http://schemas.openxmlformats.org/officeDocument/2006/relationships/hyperlink" Target="https://www.health.gov.au/sites/default/files/documents/2019/12/national-quality-framework-for-drug-and-alcohol-treatment-services_0.pdf" TargetMode="External"/><Relationship Id="rId8" Type="http://schemas.openxmlformats.org/officeDocument/2006/relationships/webSettings" Target="webSettings.xml"/><Relationship Id="rId51" Type="http://schemas.openxmlformats.org/officeDocument/2006/relationships/hyperlink" Target="https://qcoss.sharepoint.com/sites/Projects/FundedProjects/Sector%20Development%20(peaks)/HSQF/03_Project_Pubs_Resources/2022%20HSQF%20Policy%20Templates%20-%20FINAL/2024_Updates/The%20Aboriginal%20and%20Torres%20Strait%20Islander%20Child%20Placement%20Principle&#8212;what%20it%20means%20for%20practice" TargetMode="External"/><Relationship Id="rId72" Type="http://schemas.openxmlformats.org/officeDocument/2006/relationships/hyperlink" Target="https://www.dcssds.qld.gov.au/resources/dcsyw/about-us/funding-grants/specifications/investment-specification-yp.pdf"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icd.com.au/content/dam/aicd/pdf/tools-resources/nfp-governance-principles/06911-4-ADV-NFP-Governance-Principles-Report-A4-v11.pdf" TargetMode="External"/><Relationship Id="rId17" Type="http://schemas.openxmlformats.org/officeDocument/2006/relationships/hyperlink" Target="https://www.legislation.gov.au/C2004A00818/2019-07-01/text" TargetMode="External"/><Relationship Id="rId25" Type="http://schemas.openxmlformats.org/officeDocument/2006/relationships/hyperlink" Target="https://www.publications.qld.gov.au/ckan-publications-attachments-prod/resources/9a54beb5-8288-4ddd-847b-459a97822119/model-rules-oft-v7.pdf?ETag=0f9cb035b5567aa9ab74dae92a0f1a60" TargetMode="External"/><Relationship Id="rId33" Type="http://schemas.openxmlformats.org/officeDocument/2006/relationships/hyperlink" Target="The%20Aboriginal%20and%20Torres%20Strait%20Islander%20Child%20Placement%20Principle&#8212;what%20it%20means%20for%20practice" TargetMode="External"/><Relationship Id="rId38" Type="http://schemas.openxmlformats.org/officeDocument/2006/relationships/hyperlink" Target="https://www.dcssds.qld.gov.au/about-us/our-department/partners/child-family/child-safety-licensing" TargetMode="External"/><Relationship Id="rId46" Type="http://schemas.openxmlformats.org/officeDocument/2006/relationships/hyperlink" Target="https://www.dcssds.qld.gov.au/about-us/our-department/partners/child-family/child-safety-licensing" TargetMode="External"/><Relationship Id="rId59" Type="http://schemas.openxmlformats.org/officeDocument/2006/relationships/hyperlink" Target="https://www.publications.qld.gov.au/ckan-publications-attachments-prod/resources/c927ea9b-6973-4912-966e-dc11d1d46a67/common-risk-safety-framework-2022.pdf?ETag=70793b6943532f9f1f2c9f038704f600" TargetMode="External"/><Relationship Id="rId67" Type="http://schemas.openxmlformats.org/officeDocument/2006/relationships/hyperlink" Target="https://www.dsdsatsip.qld.gov.au/about-us/funding-sponsorship/investment-specifications" TargetMode="External"/><Relationship Id="rId20" Type="http://schemas.openxmlformats.org/officeDocument/2006/relationships/hyperlink" Target="https://www.legislation.qld.gov.au/view/pdf/inforce/current/act-1899-009" TargetMode="External"/><Relationship Id="rId41" Type="http://schemas.openxmlformats.org/officeDocument/2006/relationships/hyperlink" Target="https://cspm.csyw.qld.gov.au/" TargetMode="External"/><Relationship Id="rId54" Type="http://schemas.openxmlformats.org/officeDocument/2006/relationships/hyperlink" Target="https://www.legislation.qld.gov.au/view/html/inforce/current/act-2012-005" TargetMode="External"/><Relationship Id="rId62" Type="http://schemas.openxmlformats.org/officeDocument/2006/relationships/hyperlink" Target="https://www.publications.qld.gov.au/ckan-publications-attachments-prod/resources/c96539aa-1351-4971-8f5b-7515fb3c121c/investment-spec-dfvss.pdf?ETag=7157f7e289154a97190c02d3058167a8" TargetMode="External"/><Relationship Id="rId70" Type="http://schemas.openxmlformats.org/officeDocument/2006/relationships/hyperlink" Target="https://www.publications.qld.gov.au/ckan-publications-attachments-prod/resources/68b6223c-6f48-4dd6-bb2a-cf967d344e8f/investment-spec-svwss.pdf?ETag=330b007816dc4d2714c00f7f2c03d979" TargetMode="External"/><Relationship Id="rId75" Type="http://schemas.openxmlformats.org/officeDocument/2006/relationships/hyperlink" Target="https://www.coronerscourt.qld.gov.au/__data/assets/pdf_file/0007/785761/deaths-in-care-disability-updated-branding.pdf"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door.org.au/resources/governance" TargetMode="External"/><Relationship Id="rId23" Type="http://schemas.openxmlformats.org/officeDocument/2006/relationships/hyperlink" Target="https://www.dcssds.qld.gov.au/resources/dcsyw/hsqf/user-guide-certification.pdf" TargetMode="External"/><Relationship Id="rId28" Type="http://schemas.openxmlformats.org/officeDocument/2006/relationships/hyperlink" Target="https://www.legislation.qld.gov.au/view/html/inforce/current/act-1999-010" TargetMode="External"/><Relationship Id="rId36" Type="http://schemas.openxmlformats.org/officeDocument/2006/relationships/hyperlink" Target="https://www.legislation.qld.gov.au/view/html/asmade/sl-2023-0105" TargetMode="External"/><Relationship Id="rId49" Type="http://schemas.openxmlformats.org/officeDocument/2006/relationships/hyperlink" Target="https://www.dcssds.qld.gov.au/resources/dcsyw/about-us/funding-grants/specifications/ifs-model-guidelines.pdf" TargetMode="External"/><Relationship Id="rId57" Type="http://schemas.openxmlformats.org/officeDocument/2006/relationships/hyperlink" Target="https://queenslandlawhandbook.org.au/the-queensland-law-handbook/your-rights-and-responsibilities/human-rights-law-in-queensland/cultural-rights-of-aboriginal-and-torres-strait-islander-peoples/" TargetMode="External"/><Relationship Id="rId10" Type="http://schemas.openxmlformats.org/officeDocument/2006/relationships/endnotes" Target="endnotes.xml"/><Relationship Id="rId31" Type="http://schemas.openxmlformats.org/officeDocument/2006/relationships/hyperlink" Target="https://www.dcssds.qld.gov.au/about-us/our-department/partners/child-family/child-safety-licensing" TargetMode="External"/><Relationship Id="rId44" Type="http://schemas.openxmlformats.org/officeDocument/2006/relationships/hyperlink" Target="https://cspm.csyw.qld.gov.au/resources/resource/Assessment-and-Service-Connect-ASC-Operational-Pol/eac1fede-21f0-497b-af8a-9146c0928856" TargetMode="External"/><Relationship Id="rId52" Type="http://schemas.openxmlformats.org/officeDocument/2006/relationships/hyperlink" Target="https://cspm.csyw.qld.gov.au/" TargetMode="External"/><Relationship Id="rId60" Type="http://schemas.openxmlformats.org/officeDocument/2006/relationships/hyperlink" Target="https://www.publications.qld.gov.au/ckan-publications-attachments-prod/resources/366f94a8-1122-42ff-9c19-d968fd21c173/dfv-services-practice-principles-standards-and-guidance.pdf?ETag=8465906b55ef511a2a2db9721f74b69a" TargetMode="External"/><Relationship Id="rId65" Type="http://schemas.openxmlformats.org/officeDocument/2006/relationships/hyperlink" Target="https://www.publications.qld.gov.au/ckan-publications-attachments-prod/resources/924faa15-d282-48f0-a8e8-739521e2b0b1/interagency-guidelines-responding-sexual-assault-child-sexual-abuse.pdf?ETag=8273e87f1f8e6a4cc860ecdf3e556030" TargetMode="External"/><Relationship Id="rId73" Type="http://schemas.openxmlformats.org/officeDocument/2006/relationships/hyperlink" Target="https://www.legislation.qld.gov.au/view/html/inforce/current/act-2006-012"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ntent.nfplaw.org.au/wp-content/uploads/2023/05/Board-inductions-bringing-on-a-new-board-member.pdf?_ga=2.98380639.1102466317.1710453758-899236340.1710453758" TargetMode="External"/><Relationship Id="rId18" Type="http://schemas.openxmlformats.org/officeDocument/2006/relationships/hyperlink" Target="https://www.legislation.gov.au/C2006A00124/latest/text" TargetMode="External"/><Relationship Id="rId39" Type="http://schemas.openxmlformats.org/officeDocument/2006/relationships/hyperlink" Target="https://www.dcssds.qld.gov.au/resources/dcsyw/about-us/funding-grants/agreements/funding-service-details.pdf" TargetMode="External"/><Relationship Id="rId34" Type="http://schemas.openxmlformats.org/officeDocument/2006/relationships/hyperlink" Target="https://cspm.csyw.qld.gov.au/" TargetMode="External"/><Relationship Id="rId50" Type="http://schemas.openxmlformats.org/officeDocument/2006/relationships/hyperlink" Target="https://www.dcssds.qld.gov.au/resources/dcsyw/about-us/funding-grants/agreements/funding-service-details.pdf" TargetMode="External"/><Relationship Id="rId55" Type="http://schemas.openxmlformats.org/officeDocument/2006/relationships/hyperlink" Target="https://www.legislation.qld.gov.au/view/html/asmade/act-2023-001" TargetMode="External"/><Relationship Id="rId76" Type="http://schemas.openxmlformats.org/officeDocument/2006/relationships/hyperlink" Target="https://cspm.csyw.qld.gov.au/practice-kits/mental-health/overview-of-mental-health-1/a-recovery-approach-to-mental-health-and-illness" TargetMode="External"/><Relationship Id="rId7" Type="http://schemas.openxmlformats.org/officeDocument/2006/relationships/settings" Target="settings.xml"/><Relationship Id="rId71" Type="http://schemas.openxmlformats.org/officeDocument/2006/relationships/hyperlink" Target="https://www.dcssds.qld.gov.au/resources/dcsyw/about-us/funding-grants/agreements/funding-service-details.pdf" TargetMode="External"/><Relationship Id="rId2" Type="http://schemas.openxmlformats.org/officeDocument/2006/relationships/customXml" Target="../customXml/item2.xml"/><Relationship Id="rId29" Type="http://schemas.openxmlformats.org/officeDocument/2006/relationships/hyperlink" Target="https://www.legislation.qld.gov.au/view/html/asmade/sl-2023-0105" TargetMode="External"/><Relationship Id="rId24" Type="http://schemas.openxmlformats.org/officeDocument/2006/relationships/hyperlink" Target="https://www.dcssds.qld.gov.au/resources/dcsyw/hsqf/user-guide-self-assessment.pdf" TargetMode="External"/><Relationship Id="rId40" Type="http://schemas.openxmlformats.org/officeDocument/2006/relationships/hyperlink" Target="https://qcoss.sharepoint.com/sites/Projects/FundedProjects/Sector%20Development%20(peaks)/HSQF/03_Project_Pubs_Resources/2022%20HSQF%20Policy%20Templates%20-%20FINAL/2024_Updates/The%20Aboriginal%20and%20Torres%20Strait%20Islander%20Child%20Placement%20Principle&#8212;what%20it%20means%20for%20practice" TargetMode="External"/><Relationship Id="rId45" Type="http://schemas.openxmlformats.org/officeDocument/2006/relationships/hyperlink" Target="https://www.dcssds.qld.gov.au/resources/dcsyw/about-us/funding-grants/specifications/investment-spec-cp-placements.pdf" TargetMode="External"/><Relationship Id="rId66" Type="http://schemas.openxmlformats.org/officeDocument/2006/relationships/hyperlink" Target="https://static1.squarespace.com/static/5fa0db2b7ce66d7cda3bbe00/t/613583e1573d0042b238fd9b/1630897132183/Standards+of+Practice+Manual+for+Services+Against+Sexual+Violence+3rd+Edition.PDF" TargetMode="External"/><Relationship Id="rId61" Type="http://schemas.openxmlformats.org/officeDocument/2006/relationships/hyperlink" Target="https://www.publications.qld.gov.au/dataset/16d7913c-96d6-42bd-aed2-f31f24315407/resource/692b099f-a1e3-4a9d-aa30-d1ebdedae510/download/dfv-services-regulatory-framework.pdf" TargetMode="External"/><Relationship Id="rId8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qld.gov.au/view/pdf/inforce/current/act-1899-009" TargetMode="External"/><Relationship Id="rId2" Type="http://schemas.openxmlformats.org/officeDocument/2006/relationships/hyperlink" Target="http://www.dcssds.qld.gov.au/our-work/human-services-quality-framework" TargetMode="External"/><Relationship Id="rId1" Type="http://schemas.openxmlformats.org/officeDocument/2006/relationships/hyperlink" Target="mailto:hsqf@qld.gov.au" TargetMode="External"/><Relationship Id="rId4" Type="http://schemas.openxmlformats.org/officeDocument/2006/relationships/hyperlink" Target="https://www.qld.gov.au/law/crime-and-police/types-of-crime/sexual-offences-against-children/failure-to-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Lightfoot\OneDrive%20-%20Queensland%20Council%20Of%20Social%20Service%20Ltd\Documents\Custom%20Office%20Templates\Long_Report_Template.dotx" TargetMode="External"/></Relationships>
</file>

<file path=word/theme/theme1.xml><?xml version="1.0" encoding="utf-8"?>
<a:theme xmlns:a="http://schemas.openxmlformats.org/drawingml/2006/main" name="Office Theme">
  <a:themeElements>
    <a:clrScheme name="QCOSS PowerPoint Colours">
      <a:dk1>
        <a:srgbClr val="2A3648"/>
      </a:dk1>
      <a:lt1>
        <a:srgbClr val="FFFFFF"/>
      </a:lt1>
      <a:dk2>
        <a:srgbClr val="2A3648"/>
      </a:dk2>
      <a:lt2>
        <a:srgbClr val="FFFFFF"/>
      </a:lt2>
      <a:accent1>
        <a:srgbClr val="FAA61B"/>
      </a:accent1>
      <a:accent2>
        <a:srgbClr val="F26638"/>
      </a:accent2>
      <a:accent3>
        <a:srgbClr val="6BC9C8"/>
      </a:accent3>
      <a:accent4>
        <a:srgbClr val="CB8004"/>
      </a:accent4>
      <a:accent5>
        <a:srgbClr val="D13E0D"/>
      </a:accent5>
      <a:accent6>
        <a:srgbClr val="3DA9A8"/>
      </a:accent6>
      <a:hlink>
        <a:srgbClr val="6BC9C8"/>
      </a:hlink>
      <a:folHlink>
        <a:srgbClr val="9CC3E5"/>
      </a:folHlink>
    </a:clrScheme>
    <a:fontScheme name="QCOSS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Lead xmlns="7cd5d248-515f-4f75-944a-47fd623a6c44">
      <UserInfo>
        <DisplayName/>
        <AccountId xsi:nil="true"/>
        <AccountType/>
      </UserInfo>
    </ProjectLead>
    <TaxCatchAll xmlns="bf916b0d-7c40-48b1-87b8-3efeb89701ee" xsi:nil="true"/>
    <lcf76f155ced4ddcb4097134ff3c332f xmlns="7cd5d248-515f-4f75-944a-47fd623a6c44">
      <Terms xmlns="http://schemas.microsoft.com/office/infopath/2007/PartnerControls"/>
    </lcf76f155ced4ddcb4097134ff3c332f>
    <SharedWithUsers xmlns="bf916b0d-7c40-48b1-87b8-3efeb89701ee">
      <UserInfo>
        <DisplayName>Samuel Mortimer</DisplayName>
        <AccountId>31</AccountId>
        <AccountType/>
      </UserInfo>
      <UserInfo>
        <DisplayName>Stacey De Calmer</DisplayName>
        <AccountId>58</AccountId>
        <AccountType/>
      </UserInfo>
      <UserInfo>
        <DisplayName>Kelly Sumner</DisplayName>
        <AccountId>2279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21" ma:contentTypeDescription="Create a new document." ma:contentTypeScope="" ma:versionID="93c0809675e49622990788b0720cba21">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0d14d7a888266dbfb63430126b8e0e07"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e9687-0587-42ff-ba0e-e8e9413fefd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5FC49-B45A-4F88-BA36-8B5E002C0F22}">
  <ds:schemaRefs>
    <ds:schemaRef ds:uri="http://schemas.microsoft.com/office/2006/metadata/properties"/>
    <ds:schemaRef ds:uri="http://schemas.microsoft.com/office/infopath/2007/PartnerControls"/>
    <ds:schemaRef ds:uri="7cd5d248-515f-4f75-944a-47fd623a6c44"/>
    <ds:schemaRef ds:uri="bf916b0d-7c40-48b1-87b8-3efeb89701ee"/>
  </ds:schemaRefs>
</ds:datastoreItem>
</file>

<file path=customXml/itemProps2.xml><?xml version="1.0" encoding="utf-8"?>
<ds:datastoreItem xmlns:ds="http://schemas.openxmlformats.org/officeDocument/2006/customXml" ds:itemID="{B5AA317C-3798-413B-814A-5119D1656D25}">
  <ds:schemaRefs>
    <ds:schemaRef ds:uri="http://schemas.microsoft.com/sharepoint/v3/contenttype/forms"/>
  </ds:schemaRefs>
</ds:datastoreItem>
</file>

<file path=customXml/itemProps3.xml><?xml version="1.0" encoding="utf-8"?>
<ds:datastoreItem xmlns:ds="http://schemas.openxmlformats.org/officeDocument/2006/customXml" ds:itemID="{7F928BF4-F8F8-4A81-8036-0C83B59C232B}">
  <ds:schemaRefs>
    <ds:schemaRef ds:uri="http://schemas.openxmlformats.org/officeDocument/2006/bibliography"/>
  </ds:schemaRefs>
</ds:datastoreItem>
</file>

<file path=customXml/itemProps4.xml><?xml version="1.0" encoding="utf-8"?>
<ds:datastoreItem xmlns:ds="http://schemas.openxmlformats.org/officeDocument/2006/customXml" ds:itemID="{DC082A33-7B5A-494F-B53D-102570BF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d248-515f-4f75-944a-47fd623a6c44"/>
    <ds:schemaRef ds:uri="bf916b0d-7c40-48b1-87b8-3efeb897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Long_Report_Template.dotx</Template>
  <TotalTime>605</TotalTime>
  <Pages>16</Pages>
  <Words>7727</Words>
  <Characters>44045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Lightfoot</dc:creator>
  <cp:keywords/>
  <dc:description/>
  <cp:lastModifiedBy>Samuel Mortimer</cp:lastModifiedBy>
  <cp:revision>508</cp:revision>
  <dcterms:created xsi:type="dcterms:W3CDTF">2024-02-29T00:29:00Z</dcterms:created>
  <dcterms:modified xsi:type="dcterms:W3CDTF">2024-05-20T00:52:00Z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y fmtid="{D5CDD505-2E9C-101B-9397-08002B2CF9AE}" pid="3" name="MediaServiceImageTags">
    <vt:lpwstr/>
  </property>
</Properties>
</file>