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B44C" w14:textId="7B45168B" w:rsidR="00293731" w:rsidRPr="00293731" w:rsidRDefault="00DC15C5" w:rsidP="00293731">
      <w:pPr>
        <w:pStyle w:val="Heading1"/>
        <w:spacing w:before="240"/>
        <w:rPr>
          <w:rFonts w:cstheme="majorHAnsi"/>
        </w:rPr>
      </w:pPr>
      <w:r w:rsidRPr="004D4667">
        <w:rPr>
          <w:rFonts w:cstheme="majorHAnsi"/>
        </w:rPr>
        <w:t>Policy guide and checklist</w:t>
      </w:r>
      <w:bookmarkStart w:id="0" w:name="_heading=h.wv29di344pi1"/>
      <w:bookmarkEnd w:id="0"/>
    </w:p>
    <w:tbl>
      <w:tblPr>
        <w:tblStyle w:val="PlainTable2"/>
        <w:tblW w:w="9629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DC15C5" w:rsidRPr="004D4667" w14:paraId="2DB4285C" w14:textId="77777777" w:rsidTr="00E1443E">
        <w:tc>
          <w:tcPr>
            <w:tcW w:w="9629" w:type="dxa"/>
            <w:hideMark/>
          </w:tcPr>
          <w:p w14:paraId="10CB035A" w14:textId="2CA7F12B" w:rsidR="00DC15C5" w:rsidRPr="004D4667" w:rsidRDefault="00C542CB" w:rsidP="00351851">
            <w:r>
              <w:br/>
            </w:r>
            <w:r w:rsidR="00DC15C5" w:rsidRPr="004D4667">
              <w:t>This front page is to guide users in creating your Policy and Procedure.</w:t>
            </w:r>
          </w:p>
          <w:p w14:paraId="574C57F4" w14:textId="77777777" w:rsidR="00DC15C5" w:rsidRPr="004D4667" w:rsidRDefault="00DC15C5" w:rsidP="00351851">
            <w:r w:rsidRPr="004D4667">
              <w:rPr>
                <w:b/>
              </w:rPr>
              <w:t xml:space="preserve">Delete </w:t>
            </w:r>
            <w:r w:rsidRPr="004D4667">
              <w:t xml:space="preserve">this table once your Policy and Procedure has been approved and </w:t>
            </w:r>
            <w:proofErr w:type="spellStart"/>
            <w:r w:rsidRPr="004D4667">
              <w:t>finalised</w:t>
            </w:r>
            <w:proofErr w:type="spellEnd"/>
            <w:r w:rsidRPr="004D4667">
              <w:t xml:space="preserve">. </w:t>
            </w:r>
          </w:p>
          <w:p w14:paraId="26D717B0" w14:textId="5A88E540" w:rsidR="00DC15C5" w:rsidRPr="004D4667" w:rsidRDefault="00DC15C5" w:rsidP="00351851">
            <w:r w:rsidRPr="004D4667">
              <w:t xml:space="preserve">Before submitting this Policy and Procedure for approval, check that you have completed the following: </w:t>
            </w:r>
          </w:p>
          <w:p w14:paraId="7AD4D4D9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  <w:lang w:val="en-AU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>Read the HSQF Framework</w:t>
            </w:r>
          </w:p>
          <w:p w14:paraId="51F688BC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 xml:space="preserve">Read the HSQF User guide - for Certification, or User Guide – Self-Assessable, depending on your service agreement and what applies to your </w:t>
            </w:r>
            <w:proofErr w:type="spellStart"/>
            <w:r w:rsidRPr="00D714AB">
              <w:rPr>
                <w:rFonts w:asciiTheme="minorHAnsi" w:eastAsia="Times New Roman" w:hAnsiTheme="minorHAnsi" w:cstheme="minorHAnsi"/>
              </w:rPr>
              <w:t>organisation</w:t>
            </w:r>
            <w:proofErr w:type="spellEnd"/>
            <w:r w:rsidRPr="00D714AB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79E87088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 xml:space="preserve">Referred to the most recent HSQF Version Control Register and Log of Changes </w:t>
            </w:r>
          </w:p>
          <w:p w14:paraId="6532023F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>Updated or deleted all the yellow highlighted sections in this document</w:t>
            </w:r>
          </w:p>
          <w:p w14:paraId="4A8D1A01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 xml:space="preserve">Updated the document code and version number to suit your </w:t>
            </w:r>
            <w:proofErr w:type="spellStart"/>
            <w:r w:rsidRPr="00D714AB">
              <w:rPr>
                <w:rFonts w:asciiTheme="minorHAnsi" w:eastAsia="Times New Roman" w:hAnsiTheme="minorHAnsi" w:cstheme="minorHAnsi"/>
              </w:rPr>
              <w:t>organisation’s</w:t>
            </w:r>
            <w:proofErr w:type="spellEnd"/>
            <w:r w:rsidRPr="00D714AB">
              <w:rPr>
                <w:rFonts w:asciiTheme="minorHAnsi" w:eastAsia="Times New Roman" w:hAnsiTheme="minorHAnsi" w:cstheme="minorHAnsi"/>
              </w:rPr>
              <w:t xml:space="preserve"> naming convention</w:t>
            </w:r>
          </w:p>
          <w:p w14:paraId="222B8084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>Updated the supporting documents section (where relevant)</w:t>
            </w:r>
          </w:p>
          <w:p w14:paraId="79EE0DDC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 xml:space="preserve">Updated the header and footer of this document </w:t>
            </w:r>
          </w:p>
          <w:p w14:paraId="3C969CD2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>Added a review date</w:t>
            </w:r>
          </w:p>
          <w:p w14:paraId="790AED57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 xml:space="preserve">Logged any changes of your internal policies in your register </w:t>
            </w:r>
          </w:p>
          <w:p w14:paraId="334026A1" w14:textId="77777777" w:rsidR="00E84AE6" w:rsidRPr="00D714AB" w:rsidRDefault="00E84AE6" w:rsidP="00E84AE6">
            <w:pPr>
              <w:numPr>
                <w:ilvl w:val="0"/>
                <w:numId w:val="44"/>
              </w:numPr>
              <w:spacing w:before="120" w:after="120" w:line="276" w:lineRule="auto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 xml:space="preserve">Removed QCOSS branding and replace with your </w:t>
            </w:r>
            <w:proofErr w:type="spellStart"/>
            <w:r w:rsidRPr="00D714AB">
              <w:rPr>
                <w:rFonts w:asciiTheme="minorHAnsi" w:eastAsia="Times New Roman" w:hAnsiTheme="minorHAnsi" w:cstheme="minorHAnsi"/>
              </w:rPr>
              <w:t>organisation’s</w:t>
            </w:r>
            <w:proofErr w:type="spellEnd"/>
            <w:r w:rsidRPr="00D714AB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F16CA6D" w14:textId="77777777" w:rsidR="00E84AE6" w:rsidRPr="00D714AB" w:rsidRDefault="00E84AE6" w:rsidP="00E84AE6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D714AB">
              <w:rPr>
                <w:rFonts w:asciiTheme="minorHAnsi" w:eastAsia="Times New Roman" w:hAnsiTheme="minorHAnsi" w:cstheme="minorHAnsi"/>
              </w:rPr>
              <w:t>Removed this page/table from your final version.</w:t>
            </w:r>
          </w:p>
          <w:p w14:paraId="74EC70E6" w14:textId="50EBA2E4" w:rsidR="00DC15C5" w:rsidRPr="0048654D" w:rsidRDefault="00C542CB" w:rsidP="00E84AE6">
            <w:pPr>
              <w:pStyle w:val="ListParagraph"/>
              <w:spacing w:after="0"/>
              <w:ind w:left="1080"/>
              <w:rPr>
                <w:rFonts w:asciiTheme="minorHAnsi" w:eastAsia="Times New Roman" w:hAnsiTheme="minorHAnsi" w:cstheme="minorHAnsi"/>
              </w:rPr>
            </w:pPr>
            <w:r w:rsidRPr="0048654D">
              <w:rPr>
                <w:rFonts w:asciiTheme="majorHAnsi" w:eastAsia="Muli" w:hAnsiTheme="majorHAnsi" w:cstheme="majorHAnsi"/>
              </w:rPr>
              <w:br/>
            </w:r>
          </w:p>
        </w:tc>
      </w:tr>
    </w:tbl>
    <w:p w14:paraId="737D0E30" w14:textId="77777777" w:rsidR="00DC15C5" w:rsidRPr="004D4667" w:rsidRDefault="00DC15C5" w:rsidP="00DC15C5">
      <w:pPr>
        <w:rPr>
          <w:rFonts w:asciiTheme="majorHAnsi" w:eastAsia="Muli" w:hAnsiTheme="majorHAnsi" w:cstheme="majorHAnsi"/>
          <w:b/>
          <w:color w:val="F2663A"/>
        </w:rPr>
      </w:pPr>
      <w:r w:rsidRPr="004D4667">
        <w:rPr>
          <w:rFonts w:asciiTheme="majorHAnsi" w:hAnsiTheme="majorHAnsi" w:cstheme="majorHAnsi"/>
        </w:rPr>
        <w:br w:type="page"/>
      </w:r>
      <w:bookmarkStart w:id="1" w:name="_heading=h.9ynkj18bc43o"/>
      <w:bookmarkEnd w:id="1"/>
    </w:p>
    <w:p w14:paraId="1F962D31" w14:textId="104CFCCA" w:rsidR="00DC15C5" w:rsidRPr="004D4667" w:rsidRDefault="00DC15C5" w:rsidP="00F76548">
      <w:pPr>
        <w:pStyle w:val="Title"/>
        <w:rPr>
          <w:rFonts w:eastAsia="Muli"/>
          <w:color w:val="F2663A"/>
        </w:rPr>
      </w:pPr>
      <w:r w:rsidRPr="004D4667">
        <w:rPr>
          <w:rFonts w:eastAsia="Muli"/>
        </w:rPr>
        <w:lastRenderedPageBreak/>
        <w:t>Records and Information Management Policy and Procedure</w:t>
      </w:r>
    </w:p>
    <w:p w14:paraId="5F507E0D" w14:textId="77777777" w:rsidR="00DC15C5" w:rsidRPr="00167C4F" w:rsidRDefault="00DC15C5" w:rsidP="003A4537">
      <w:pPr>
        <w:pStyle w:val="Heading4"/>
        <w:spacing w:before="0" w:line="276" w:lineRule="auto"/>
        <w:jc w:val="both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Document Code / Version Number</w:t>
      </w:r>
    </w:p>
    <w:p w14:paraId="2E009CFA" w14:textId="77777777" w:rsidR="00DC15C5" w:rsidRPr="004D4667" w:rsidRDefault="00DC15C5" w:rsidP="003A4537">
      <w:pPr>
        <w:pStyle w:val="Heading1"/>
        <w:spacing w:before="240" w:after="120"/>
        <w:rPr>
          <w:rFonts w:eastAsia="Muli" w:cstheme="majorHAnsi"/>
        </w:rPr>
      </w:pPr>
      <w:r w:rsidRPr="004D4667">
        <w:rPr>
          <w:rFonts w:eastAsia="Muli" w:cstheme="majorHAnsi"/>
        </w:rPr>
        <w:t>Policy Statement</w:t>
      </w:r>
    </w:p>
    <w:p w14:paraId="6892FE02" w14:textId="77777777" w:rsidR="00DC15C5" w:rsidRPr="004D4667" w:rsidRDefault="00DC15C5" w:rsidP="00F76548">
      <w:pPr>
        <w:spacing w:after="0" w:line="276" w:lineRule="auto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>{</w:t>
      </w:r>
      <w:proofErr w:type="spellStart"/>
      <w:r w:rsidRPr="00167C4F">
        <w:rPr>
          <w:rFonts w:asciiTheme="majorHAnsi" w:eastAsia="Muli" w:hAnsiTheme="majorHAnsi" w:cstheme="majorHAnsi"/>
          <w:highlight w:val="yellow"/>
        </w:rPr>
        <w:t>Organisation</w:t>
      </w:r>
      <w:proofErr w:type="spellEnd"/>
      <w:r w:rsidRPr="00167C4F">
        <w:rPr>
          <w:rFonts w:asciiTheme="majorHAnsi" w:eastAsia="Muli" w:hAnsiTheme="majorHAnsi" w:cstheme="majorHAnsi"/>
          <w:highlight w:val="yellow"/>
        </w:rPr>
        <w:t xml:space="preserve"> Name}</w:t>
      </w:r>
      <w:r w:rsidRPr="004D4667">
        <w:rPr>
          <w:rFonts w:asciiTheme="majorHAnsi" w:eastAsia="Muli" w:hAnsiTheme="majorHAnsi" w:cstheme="majorHAnsi"/>
        </w:rPr>
        <w:t xml:space="preserve"> </w:t>
      </w:r>
      <w:proofErr w:type="spellStart"/>
      <w:r w:rsidRPr="004D4667">
        <w:rPr>
          <w:rFonts w:asciiTheme="majorHAnsi" w:eastAsia="Muli" w:hAnsiTheme="majorHAnsi" w:cstheme="majorHAnsi"/>
        </w:rPr>
        <w:t>organises</w:t>
      </w:r>
      <w:proofErr w:type="spellEnd"/>
      <w:r w:rsidRPr="004D4667">
        <w:rPr>
          <w:rFonts w:asciiTheme="majorHAnsi" w:eastAsia="Muli" w:hAnsiTheme="majorHAnsi" w:cstheme="majorHAnsi"/>
        </w:rPr>
        <w:t xml:space="preserve">, stores, </w:t>
      </w:r>
      <w:proofErr w:type="gramStart"/>
      <w:r w:rsidRPr="004D4667">
        <w:rPr>
          <w:rFonts w:asciiTheme="majorHAnsi" w:eastAsia="Muli" w:hAnsiTheme="majorHAnsi" w:cstheme="majorHAnsi"/>
        </w:rPr>
        <w:t>accesses</w:t>
      </w:r>
      <w:proofErr w:type="gramEnd"/>
      <w:r w:rsidRPr="004D4667">
        <w:rPr>
          <w:rFonts w:asciiTheme="majorHAnsi" w:eastAsia="Muli" w:hAnsiTheme="majorHAnsi" w:cstheme="majorHAnsi"/>
        </w:rPr>
        <w:t xml:space="preserve"> and disposes of records in a way that conforms to legislative, contractual and Quality Management System (QMS) requirements. </w:t>
      </w:r>
    </w:p>
    <w:p w14:paraId="05D0249A" w14:textId="1B4747F0" w:rsidR="00DC15C5" w:rsidRPr="004D4667" w:rsidRDefault="00DC15C5" w:rsidP="00F76548">
      <w:pPr>
        <w:spacing w:after="0" w:line="276" w:lineRule="auto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Effective record control protects commercial interests and individual confidentiality, and privacy and facilitates efficient internal information flow. The records we keep are legible, </w:t>
      </w:r>
      <w:proofErr w:type="gramStart"/>
      <w:r w:rsidRPr="004D4667">
        <w:rPr>
          <w:rFonts w:asciiTheme="majorHAnsi" w:eastAsia="Muli" w:hAnsiTheme="majorHAnsi" w:cstheme="majorHAnsi"/>
        </w:rPr>
        <w:t>identifiable</w:t>
      </w:r>
      <w:proofErr w:type="gramEnd"/>
      <w:r w:rsidRPr="004D4667">
        <w:rPr>
          <w:rFonts w:asciiTheme="majorHAnsi" w:eastAsia="Muli" w:hAnsiTheme="majorHAnsi" w:cstheme="majorHAnsi"/>
        </w:rPr>
        <w:t xml:space="preserve"> and retrievable.</w:t>
      </w:r>
    </w:p>
    <w:p w14:paraId="1D18D68E" w14:textId="77777777" w:rsidR="00DC15C5" w:rsidRPr="004D4667" w:rsidRDefault="00DC15C5" w:rsidP="00F76548">
      <w:pPr>
        <w:spacing w:after="0" w:line="276" w:lineRule="auto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We follow processes that control the identification, storage, protection, retrieval, </w:t>
      </w:r>
      <w:proofErr w:type="gramStart"/>
      <w:r w:rsidRPr="004D4667">
        <w:rPr>
          <w:rFonts w:asciiTheme="majorHAnsi" w:eastAsia="Muli" w:hAnsiTheme="majorHAnsi" w:cstheme="majorHAnsi"/>
        </w:rPr>
        <w:t>retention</w:t>
      </w:r>
      <w:proofErr w:type="gramEnd"/>
      <w:r w:rsidRPr="004D4667">
        <w:rPr>
          <w:rFonts w:asciiTheme="majorHAnsi" w:eastAsia="Muli" w:hAnsiTheme="majorHAnsi" w:cstheme="majorHAnsi"/>
        </w:rPr>
        <w:t xml:space="preserve"> and disposal of records. </w:t>
      </w:r>
    </w:p>
    <w:p w14:paraId="5CEBB850" w14:textId="77777777" w:rsidR="00DC15C5" w:rsidRPr="004D4667" w:rsidRDefault="00DC15C5" w:rsidP="00DC15C5">
      <w:pPr>
        <w:pStyle w:val="Heading2"/>
        <w:spacing w:before="120" w:after="120" w:line="276" w:lineRule="auto"/>
        <w:jc w:val="both"/>
        <w:rPr>
          <w:rFonts w:eastAsia="Muli" w:cstheme="majorHAnsi"/>
          <w:szCs w:val="28"/>
        </w:rPr>
      </w:pPr>
      <w:r w:rsidRPr="004D4667">
        <w:rPr>
          <w:rFonts w:eastAsia="Muli" w:cstheme="majorHAnsi"/>
          <w:szCs w:val="28"/>
        </w:rPr>
        <w:t>Scope</w:t>
      </w:r>
    </w:p>
    <w:p w14:paraId="5A0AADC7" w14:textId="77777777" w:rsidR="00DC15C5" w:rsidRPr="004D4667" w:rsidRDefault="00DC15C5" w:rsidP="007574B3">
      <w:pPr>
        <w:spacing w:after="0" w:line="276" w:lineRule="auto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This Policy and Procedure apply to </w:t>
      </w:r>
      <w:r w:rsidRPr="00167C4F">
        <w:rPr>
          <w:rFonts w:asciiTheme="majorHAnsi" w:eastAsia="Muli" w:hAnsiTheme="majorHAnsi" w:cstheme="majorHAnsi"/>
          <w:highlight w:val="yellow"/>
        </w:rPr>
        <w:t>{</w:t>
      </w:r>
      <w:proofErr w:type="spellStart"/>
      <w:r w:rsidRPr="00167C4F">
        <w:rPr>
          <w:rFonts w:asciiTheme="majorHAnsi" w:eastAsia="Muli" w:hAnsiTheme="majorHAnsi" w:cstheme="majorHAnsi"/>
          <w:highlight w:val="yellow"/>
        </w:rPr>
        <w:t>Organisation</w:t>
      </w:r>
      <w:proofErr w:type="spellEnd"/>
      <w:r w:rsidRPr="00167C4F">
        <w:rPr>
          <w:rFonts w:asciiTheme="majorHAnsi" w:eastAsia="Muli" w:hAnsiTheme="majorHAnsi" w:cstheme="majorHAnsi"/>
          <w:highlight w:val="yellow"/>
        </w:rPr>
        <w:t xml:space="preserve"> Name}</w:t>
      </w:r>
      <w:r w:rsidRPr="004D4667">
        <w:rPr>
          <w:rFonts w:asciiTheme="majorHAnsi" w:eastAsia="Muli" w:hAnsiTheme="majorHAnsi" w:cstheme="majorHAnsi"/>
        </w:rPr>
        <w:t xml:space="preserve"> as a whole. </w:t>
      </w:r>
    </w:p>
    <w:p w14:paraId="66B98787" w14:textId="77777777" w:rsidR="00DC15C5" w:rsidRPr="004D4667" w:rsidRDefault="00DC15C5" w:rsidP="007574B3">
      <w:pPr>
        <w:spacing w:after="0" w:line="276" w:lineRule="auto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This Policy and Procedure must be read in conjunction with our Privacy and Confidentiality Policy and Procedure.</w:t>
      </w:r>
    </w:p>
    <w:p w14:paraId="769136E2" w14:textId="77777777" w:rsidR="00DC15C5" w:rsidRPr="004D4667" w:rsidRDefault="00DC15C5" w:rsidP="00DC15C5">
      <w:pPr>
        <w:pStyle w:val="Heading1"/>
        <w:rPr>
          <w:rFonts w:eastAsia="Muli" w:cstheme="majorHAnsi"/>
        </w:rPr>
      </w:pPr>
      <w:r w:rsidRPr="004D4667">
        <w:rPr>
          <w:rFonts w:eastAsia="Muli" w:cstheme="majorHAnsi"/>
        </w:rPr>
        <w:t>HSQF Related Standards</w:t>
      </w:r>
    </w:p>
    <w:p w14:paraId="3BF36B12" w14:textId="77777777" w:rsidR="00DC15C5" w:rsidRPr="004D4667" w:rsidRDefault="00DC15C5" w:rsidP="007714C5">
      <w:pPr>
        <w:numPr>
          <w:ilvl w:val="0"/>
          <w:numId w:val="29"/>
        </w:numPr>
        <w:spacing w:before="120" w:after="120" w:line="276" w:lineRule="auto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Human Services Quality Standards Indicator 1.7</w:t>
      </w:r>
    </w:p>
    <w:p w14:paraId="045F6BD5" w14:textId="5CA3D236" w:rsidR="00DC15C5" w:rsidRPr="004D4667" w:rsidRDefault="00DC15C5" w:rsidP="007714C5">
      <w:pPr>
        <w:numPr>
          <w:ilvl w:val="0"/>
          <w:numId w:val="29"/>
        </w:numPr>
        <w:spacing w:before="120" w:after="120" w:line="276" w:lineRule="auto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Human Services Quality Standards Indicator 4.1</w:t>
      </w:r>
      <w:r w:rsidR="007714C5">
        <w:rPr>
          <w:rFonts w:asciiTheme="majorHAnsi" w:eastAsia="Muli" w:hAnsiTheme="majorHAnsi" w:cstheme="majorHAnsi"/>
        </w:rPr>
        <w:br/>
      </w:r>
    </w:p>
    <w:p w14:paraId="5BB87922" w14:textId="77777777" w:rsidR="00DC15C5" w:rsidRPr="004D4667" w:rsidRDefault="00DC15C5" w:rsidP="00610E0E">
      <w:pPr>
        <w:pStyle w:val="Heading1"/>
        <w:spacing w:before="120" w:after="120"/>
        <w:rPr>
          <w:rFonts w:eastAsia="Muli" w:cstheme="majorHAnsi"/>
        </w:rPr>
      </w:pPr>
      <w:bookmarkStart w:id="2" w:name="_heading=h.c4jhri7piqiw"/>
      <w:bookmarkEnd w:id="2"/>
      <w:r w:rsidRPr="004D4667">
        <w:rPr>
          <w:rFonts w:eastAsia="Muli" w:cstheme="majorHAnsi"/>
        </w:rPr>
        <w:t>Related Legislation</w:t>
      </w:r>
    </w:p>
    <w:tbl>
      <w:tblPr>
        <w:tblStyle w:val="PlainTable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7644"/>
      </w:tblGrid>
      <w:tr w:rsidR="00DC15C5" w:rsidRPr="004D4667" w14:paraId="6D71887A" w14:textId="77777777" w:rsidTr="008C4EFA">
        <w:tc>
          <w:tcPr>
            <w:tcW w:w="2127" w:type="dxa"/>
            <w:hideMark/>
          </w:tcPr>
          <w:p w14:paraId="4F0BF461" w14:textId="77777777" w:rsidR="00DC15C5" w:rsidRPr="004D4667" w:rsidRDefault="00E84AE6">
            <w:pPr>
              <w:widowControl w:val="0"/>
              <w:spacing w:before="80" w:after="80"/>
              <w:rPr>
                <w:rFonts w:asciiTheme="majorHAnsi" w:eastAsia="Mul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9"/>
                <w:id w:val="1003856812"/>
              </w:sdtPr>
              <w:sdtEndPr/>
              <w:sdtContent/>
            </w:sdt>
            <w:bookmarkStart w:id="3" w:name="_heading=h.6cva7i30w8pc"/>
            <w:bookmarkEnd w:id="3"/>
            <w:r w:rsidR="00DC15C5" w:rsidRPr="004D4667">
              <w:rPr>
                <w:rFonts w:asciiTheme="majorHAnsi" w:eastAsia="Muli" w:hAnsiTheme="majorHAnsi" w:cstheme="majorHAnsi"/>
              </w:rPr>
              <w:t xml:space="preserve">Common </w:t>
            </w:r>
          </w:p>
        </w:tc>
        <w:tc>
          <w:tcPr>
            <w:tcW w:w="7644" w:type="dxa"/>
            <w:hideMark/>
          </w:tcPr>
          <w:p w14:paraId="18AAFDB7" w14:textId="77777777" w:rsidR="00DC15C5" w:rsidRPr="004D4667" w:rsidRDefault="00E84AE6" w:rsidP="00610E0E">
            <w:pPr>
              <w:numPr>
                <w:ilvl w:val="0"/>
                <w:numId w:val="9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10"/>
                <w:id w:val="-1469963273"/>
              </w:sdtPr>
              <w:sdtEndPr/>
              <w:sdtContent/>
            </w:sdt>
            <w:r w:rsidR="00DC15C5" w:rsidRPr="004D4667">
              <w:rPr>
                <w:rFonts w:asciiTheme="majorHAnsi" w:eastAsia="Muli" w:hAnsiTheme="majorHAnsi" w:cstheme="majorHAnsi"/>
                <w:i/>
              </w:rPr>
              <w:t>Human Rights Act 2019</w:t>
            </w:r>
          </w:p>
          <w:p w14:paraId="72D40C1A" w14:textId="77777777" w:rsidR="00DC15C5" w:rsidRPr="004D4667" w:rsidRDefault="00E84AE6" w:rsidP="00610E0E">
            <w:pPr>
              <w:numPr>
                <w:ilvl w:val="0"/>
                <w:numId w:val="9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11"/>
                <w:id w:val="-1207797447"/>
              </w:sdtPr>
              <w:sdtEndPr/>
              <w:sdtContent/>
            </w:sdt>
            <w:r w:rsidR="00DC15C5" w:rsidRPr="004D4667">
              <w:rPr>
                <w:rFonts w:asciiTheme="majorHAnsi" w:eastAsia="Muli" w:hAnsiTheme="majorHAnsi" w:cstheme="majorHAnsi"/>
                <w:i/>
              </w:rPr>
              <w:t>Information Privacy Act 2009 (Qld)</w:t>
            </w:r>
          </w:p>
          <w:p w14:paraId="4BE12B3E" w14:textId="77777777" w:rsidR="00DC15C5" w:rsidRPr="004D4667" w:rsidRDefault="00DC15C5" w:rsidP="00610E0E">
            <w:pPr>
              <w:numPr>
                <w:ilvl w:val="0"/>
                <w:numId w:val="9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</w:rPr>
              <w:t>Information Privacy Principles</w:t>
            </w:r>
          </w:p>
          <w:p w14:paraId="1844D5A6" w14:textId="77777777" w:rsidR="00DC15C5" w:rsidRPr="004D4667" w:rsidRDefault="00DC15C5" w:rsidP="00610E0E">
            <w:pPr>
              <w:numPr>
                <w:ilvl w:val="0"/>
                <w:numId w:val="9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t>Right to Information Act 2009 (Qld)</w:t>
            </w:r>
          </w:p>
          <w:p w14:paraId="23C4F8E7" w14:textId="77777777" w:rsidR="00DC15C5" w:rsidRPr="004D4667" w:rsidRDefault="00DC15C5" w:rsidP="00610E0E">
            <w:pPr>
              <w:numPr>
                <w:ilvl w:val="0"/>
                <w:numId w:val="9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t>Privacy Act 1988 (</w:t>
            </w:r>
            <w:proofErr w:type="spellStart"/>
            <w:r w:rsidRPr="004D4667">
              <w:rPr>
                <w:rFonts w:asciiTheme="majorHAnsi" w:eastAsia="Muli" w:hAnsiTheme="majorHAnsi" w:cstheme="majorHAnsi"/>
                <w:i/>
              </w:rPr>
              <w:t>Cth</w:t>
            </w:r>
            <w:proofErr w:type="spellEnd"/>
            <w:r w:rsidRPr="004D4667">
              <w:rPr>
                <w:rFonts w:asciiTheme="majorHAnsi" w:eastAsia="Muli" w:hAnsiTheme="majorHAnsi" w:cstheme="majorHAnsi"/>
                <w:i/>
              </w:rPr>
              <w:t>)</w:t>
            </w:r>
          </w:p>
          <w:p w14:paraId="568D8737" w14:textId="77777777" w:rsidR="00DC15C5" w:rsidRPr="004D4667" w:rsidRDefault="00DC15C5" w:rsidP="00610E0E">
            <w:pPr>
              <w:numPr>
                <w:ilvl w:val="0"/>
                <w:numId w:val="9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</w:rPr>
              <w:t>Australian Privacy Principles</w:t>
            </w:r>
          </w:p>
          <w:p w14:paraId="0E8925E5" w14:textId="77777777" w:rsidR="00DC15C5" w:rsidRPr="004D4667" w:rsidRDefault="00DC15C5" w:rsidP="00610E0E">
            <w:pPr>
              <w:widowControl w:val="0"/>
              <w:numPr>
                <w:ilvl w:val="0"/>
                <w:numId w:val="9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t>Privacy Amendment (Notifiable Data Breaches) Act 2017</w:t>
            </w:r>
          </w:p>
          <w:p w14:paraId="3E7F7EA9" w14:textId="77777777" w:rsidR="00DC15C5" w:rsidRPr="004D4667" w:rsidRDefault="00E84AE6" w:rsidP="00610E0E">
            <w:pPr>
              <w:widowControl w:val="0"/>
              <w:numPr>
                <w:ilvl w:val="0"/>
                <w:numId w:val="9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12"/>
                <w:id w:val="407588983"/>
              </w:sdtPr>
              <w:sdtEndPr/>
              <w:sdtContent/>
            </w:sdt>
            <w:hyperlink r:id="rId10" w:history="1">
              <w:r w:rsidR="00DC15C5" w:rsidRPr="004D4667">
                <w:rPr>
                  <w:rStyle w:val="Hyperlink"/>
                  <w:rFonts w:asciiTheme="majorHAnsi" w:eastAsia="Muli" w:hAnsiTheme="majorHAnsi" w:cstheme="majorHAnsi"/>
                  <w:i/>
                  <w:color w:val="1155CC"/>
                </w:rPr>
                <w:t>Notifiable data breaches - Home (oaic.gov.au)</w:t>
              </w:r>
            </w:hyperlink>
          </w:p>
          <w:p w14:paraId="3C2AE346" w14:textId="77777777" w:rsidR="00DC15C5" w:rsidRPr="004D4667" w:rsidRDefault="00E84AE6" w:rsidP="00610E0E">
            <w:pPr>
              <w:widowControl w:val="0"/>
              <w:numPr>
                <w:ilvl w:val="0"/>
                <w:numId w:val="9"/>
              </w:numPr>
              <w:spacing w:after="120" w:line="276" w:lineRule="auto"/>
              <w:rPr>
                <w:rFonts w:asciiTheme="majorHAnsi" w:eastAsia="Muli" w:hAnsiTheme="majorHAnsi" w:cstheme="majorHAnsi"/>
                <w:sz w:val="22"/>
                <w:szCs w:val="22"/>
              </w:rPr>
            </w:pPr>
            <w:hyperlink r:id="rId11" w:history="1">
              <w:r w:rsidR="00DC15C5" w:rsidRPr="004D4667">
                <w:rPr>
                  <w:rStyle w:val="Hyperlink"/>
                  <w:rFonts w:asciiTheme="majorHAnsi" w:eastAsia="Muli" w:hAnsiTheme="majorHAnsi" w:cstheme="majorHAnsi"/>
                </w:rPr>
                <w:t>Information Privacy Act 2009: Obligations of Contracted Service Providers</w:t>
              </w:r>
            </w:hyperlink>
            <w:r w:rsidR="00DC15C5" w:rsidRPr="004D4667">
              <w:rPr>
                <w:rFonts w:asciiTheme="majorHAnsi" w:eastAsia="Muli" w:hAnsiTheme="majorHAnsi" w:cstheme="majorHAnsi"/>
                <w:i/>
              </w:rPr>
              <w:t xml:space="preserve"> (Office of Information Commissioner Queensland)</w:t>
            </w:r>
          </w:p>
          <w:p w14:paraId="545DD204" w14:textId="77777777" w:rsidR="00DC15C5" w:rsidRPr="004D4667" w:rsidRDefault="00E84AE6" w:rsidP="00610E0E">
            <w:pPr>
              <w:widowControl w:val="0"/>
              <w:numPr>
                <w:ilvl w:val="0"/>
                <w:numId w:val="9"/>
              </w:num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DC15C5" w:rsidRPr="004D4667">
                <w:rPr>
                  <w:rStyle w:val="Hyperlink"/>
                  <w:rFonts w:asciiTheme="majorHAnsi" w:eastAsia="Muli" w:hAnsiTheme="majorHAnsi" w:cstheme="majorHAnsi"/>
                </w:rPr>
                <w:t>Information Privacy Guide</w:t>
              </w:r>
            </w:hyperlink>
            <w:r w:rsidR="00DC15C5" w:rsidRPr="004D4667">
              <w:rPr>
                <w:rFonts w:asciiTheme="majorHAnsi" w:eastAsia="Muli" w:hAnsiTheme="majorHAnsi" w:cstheme="majorHAnsi"/>
                <w:i/>
              </w:rPr>
              <w:t xml:space="preserve"> (</w:t>
            </w:r>
            <w:r w:rsidR="00DC15C5" w:rsidRPr="004D4667">
              <w:rPr>
                <w:rFonts w:asciiTheme="majorHAnsi" w:eastAsia="Muli" w:hAnsiTheme="majorHAnsi" w:cstheme="majorHAnsi"/>
              </w:rPr>
              <w:t>Department of Children, Youth Justice and Multicultural Affairs</w:t>
            </w:r>
            <w:r w:rsidR="00DC15C5" w:rsidRPr="004D4667">
              <w:rPr>
                <w:rFonts w:asciiTheme="majorHAnsi" w:eastAsia="Muli" w:hAnsiTheme="majorHAnsi" w:cstheme="majorHAnsi"/>
                <w:i/>
              </w:rPr>
              <w:t>)</w:t>
            </w:r>
          </w:p>
          <w:p w14:paraId="2E4EB846" w14:textId="77777777" w:rsidR="00DC15C5" w:rsidRPr="004D4667" w:rsidRDefault="00E84AE6" w:rsidP="00610E0E">
            <w:pPr>
              <w:numPr>
                <w:ilvl w:val="0"/>
                <w:numId w:val="9"/>
              </w:numPr>
              <w:spacing w:after="120"/>
              <w:rPr>
                <w:rFonts w:asciiTheme="majorHAnsi" w:eastAsia="Muli" w:hAnsiTheme="majorHAnsi" w:cstheme="majorHAnsi"/>
              </w:rPr>
            </w:pPr>
            <w:hyperlink r:id="rId13" w:history="1">
              <w:r w:rsidR="00DC15C5" w:rsidRPr="004D4667">
                <w:rPr>
                  <w:rStyle w:val="Hyperlink"/>
                  <w:rFonts w:asciiTheme="majorHAnsi" w:eastAsia="Muli" w:hAnsiTheme="majorHAnsi" w:cstheme="majorHAnsi"/>
                  <w:color w:val="1155CC"/>
                </w:rPr>
                <w:t>Guide to undertaking privacy impact assessments - Home (oaic.gov.au)</w:t>
              </w:r>
            </w:hyperlink>
          </w:p>
          <w:p w14:paraId="1D002096" w14:textId="77777777" w:rsidR="00DC15C5" w:rsidRPr="004D4667" w:rsidRDefault="00E84AE6" w:rsidP="00610E0E">
            <w:pPr>
              <w:widowControl w:val="0"/>
              <w:numPr>
                <w:ilvl w:val="0"/>
                <w:numId w:val="9"/>
              </w:numPr>
              <w:spacing w:after="120" w:line="276" w:lineRule="auto"/>
              <w:rPr>
                <w:rFonts w:asciiTheme="majorHAnsi" w:eastAsia="Muli" w:hAnsiTheme="majorHAnsi" w:cstheme="majorHAnsi"/>
              </w:rPr>
            </w:pPr>
            <w:hyperlink r:id="rId14" w:history="1">
              <w:r w:rsidR="00DC15C5" w:rsidRPr="004D4667">
                <w:rPr>
                  <w:rStyle w:val="Hyperlink"/>
                  <w:rFonts w:asciiTheme="majorHAnsi" w:eastAsia="Muli" w:hAnsiTheme="majorHAnsi" w:cstheme="majorHAnsi"/>
                  <w:color w:val="1155CC"/>
                </w:rPr>
                <w:t>Inquiry into the use of electronic monitoring at disability accommodation sites in Queensland | Office of the Public Advocate (justice.qld.gov.au)</w:t>
              </w:r>
            </w:hyperlink>
          </w:p>
          <w:p w14:paraId="28EED516" w14:textId="3CFDF80E" w:rsidR="00DC15C5" w:rsidRPr="004D4667" w:rsidRDefault="00DC15C5" w:rsidP="00610E0E">
            <w:pPr>
              <w:widowControl w:val="0"/>
              <w:numPr>
                <w:ilvl w:val="0"/>
                <w:numId w:val="9"/>
              </w:numPr>
              <w:spacing w:after="120" w:line="276" w:lineRule="auto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t xml:space="preserve">Service Agreement - Standard Terms, </w:t>
            </w:r>
            <w:r w:rsidRPr="004D4667">
              <w:rPr>
                <w:rFonts w:asciiTheme="majorHAnsi" w:eastAsia="Muli" w:hAnsiTheme="majorHAnsi" w:cstheme="majorHAnsi"/>
              </w:rPr>
              <w:t>Clause 27</w:t>
            </w:r>
          </w:p>
        </w:tc>
      </w:tr>
      <w:tr w:rsidR="00DC15C5" w:rsidRPr="004D4667" w14:paraId="4F3D1379" w14:textId="77777777" w:rsidTr="008C4EFA">
        <w:tc>
          <w:tcPr>
            <w:tcW w:w="2127" w:type="dxa"/>
            <w:hideMark/>
          </w:tcPr>
          <w:p w14:paraId="378DA835" w14:textId="369ADDB6" w:rsidR="00DC15C5" w:rsidRPr="004D4667" w:rsidRDefault="00345C29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>
              <w:rPr>
                <w:rFonts w:asciiTheme="majorHAnsi" w:eastAsia="Muli" w:hAnsiTheme="majorHAnsi" w:cstheme="majorHAnsi"/>
              </w:rPr>
              <w:br/>
            </w:r>
            <w:r>
              <w:rPr>
                <w:rFonts w:asciiTheme="majorHAnsi" w:eastAsia="Muli" w:hAnsiTheme="majorHAnsi" w:cstheme="majorHAnsi"/>
              </w:rPr>
              <w:br/>
            </w:r>
            <w:r w:rsidR="00DC15C5" w:rsidRPr="004D4667">
              <w:rPr>
                <w:rFonts w:asciiTheme="majorHAnsi" w:eastAsia="Muli" w:hAnsiTheme="majorHAnsi" w:cstheme="majorHAnsi"/>
              </w:rPr>
              <w:lastRenderedPageBreak/>
              <w:t>Child Protection Placement Services, Child Protection Support Services, and Families</w:t>
            </w:r>
          </w:p>
          <w:p w14:paraId="507AC4B5" w14:textId="77777777" w:rsidR="00DC15C5" w:rsidRPr="004D4667" w:rsidRDefault="00DC15C5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 w:rsidRPr="00167C4F">
              <w:rPr>
                <w:rFonts w:asciiTheme="majorHAnsi" w:eastAsia="Muli" w:hAnsiTheme="majorHAnsi" w:cstheme="majorHAnsi"/>
                <w:highlight w:val="yellow"/>
              </w:rPr>
              <w:t>{remove if not required}</w:t>
            </w:r>
          </w:p>
        </w:tc>
        <w:tc>
          <w:tcPr>
            <w:tcW w:w="7644" w:type="dxa"/>
            <w:hideMark/>
          </w:tcPr>
          <w:p w14:paraId="10D92A39" w14:textId="77777777" w:rsidR="00DC15C5" w:rsidRPr="004D4667" w:rsidRDefault="00DC15C5" w:rsidP="00610E0E">
            <w:pPr>
              <w:numPr>
                <w:ilvl w:val="0"/>
                <w:numId w:val="30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lastRenderedPageBreak/>
              <w:t>Child Protection Act 1999</w:t>
            </w:r>
          </w:p>
          <w:p w14:paraId="763597B5" w14:textId="77777777" w:rsidR="00DC15C5" w:rsidRPr="004D4667" w:rsidRDefault="00DC15C5" w:rsidP="00610E0E">
            <w:pPr>
              <w:numPr>
                <w:ilvl w:val="0"/>
                <w:numId w:val="30"/>
              </w:numPr>
              <w:spacing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lastRenderedPageBreak/>
              <w:t xml:space="preserve">Department of Children, Youth Justice and Multicultural Affairs (DCYJMA) </w:t>
            </w:r>
            <w:r w:rsidRPr="004D4667">
              <w:rPr>
                <w:rFonts w:asciiTheme="majorHAnsi" w:eastAsia="Muli" w:hAnsiTheme="majorHAnsi" w:cstheme="majorHAnsi"/>
                <w:i/>
              </w:rPr>
              <w:t>Information Sharing Guidelines – To meet the protection and care needs and promote the wellbeing of children</w:t>
            </w:r>
          </w:p>
          <w:p w14:paraId="0109F424" w14:textId="77777777" w:rsidR="00DC15C5" w:rsidRPr="004D4667" w:rsidRDefault="00DC15C5" w:rsidP="00610E0E">
            <w:pPr>
              <w:numPr>
                <w:ilvl w:val="0"/>
                <w:numId w:val="30"/>
              </w:numPr>
              <w:spacing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 xml:space="preserve">Section 7 </w:t>
            </w:r>
            <w:r w:rsidRPr="004D4667">
              <w:rPr>
                <w:rFonts w:asciiTheme="majorHAnsi" w:eastAsia="Muli" w:hAnsiTheme="majorHAnsi" w:cstheme="majorHAnsi"/>
                <w:i/>
              </w:rPr>
              <w:t>Child Protection Regulation 2011</w:t>
            </w:r>
          </w:p>
          <w:p w14:paraId="75E7C671" w14:textId="77777777" w:rsidR="00DC15C5" w:rsidRPr="004D4667" w:rsidRDefault="00DC15C5" w:rsidP="00610E0E">
            <w:pPr>
              <w:numPr>
                <w:ilvl w:val="0"/>
                <w:numId w:val="30"/>
              </w:numPr>
              <w:spacing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t xml:space="preserve">Child Protection Act 1999 - </w:t>
            </w:r>
            <w:r w:rsidRPr="004D4667">
              <w:rPr>
                <w:rFonts w:asciiTheme="majorHAnsi" w:eastAsia="Muli" w:hAnsiTheme="majorHAnsi" w:cstheme="majorHAnsi"/>
              </w:rPr>
              <w:t>Service Agreement – Funding and Service Details</w:t>
            </w:r>
          </w:p>
          <w:p w14:paraId="57B4D430" w14:textId="77777777" w:rsidR="00DC15C5" w:rsidRPr="004D4667" w:rsidRDefault="00DC15C5" w:rsidP="00610E0E">
            <w:pPr>
              <w:numPr>
                <w:ilvl w:val="0"/>
                <w:numId w:val="30"/>
              </w:numPr>
              <w:spacing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 xml:space="preserve">DCYJMA’s </w:t>
            </w:r>
            <w:r w:rsidRPr="004D4667">
              <w:rPr>
                <w:rFonts w:asciiTheme="majorHAnsi" w:eastAsia="Muli" w:hAnsiTheme="majorHAnsi" w:cstheme="majorHAnsi"/>
                <w:i/>
              </w:rPr>
              <w:t xml:space="preserve">Recordkeeping Guide for Funded Non-Government </w:t>
            </w:r>
            <w:proofErr w:type="spellStart"/>
            <w:r w:rsidRPr="004D4667">
              <w:rPr>
                <w:rFonts w:asciiTheme="majorHAnsi" w:eastAsia="Muli" w:hAnsiTheme="majorHAnsi" w:cstheme="majorHAnsi"/>
                <w:i/>
              </w:rPr>
              <w:t>Organisations</w:t>
            </w:r>
            <w:proofErr w:type="spellEnd"/>
            <w:r w:rsidRPr="004D4667">
              <w:rPr>
                <w:rFonts w:asciiTheme="majorHAnsi" w:eastAsia="Muli" w:hAnsiTheme="majorHAnsi" w:cstheme="majorHAnsi"/>
                <w:i/>
              </w:rPr>
              <w:t xml:space="preserve"> </w:t>
            </w:r>
            <w:hyperlink r:id="rId15" w:history="1">
              <w:r w:rsidRPr="004D4667">
                <w:rPr>
                  <w:rStyle w:val="Hyperlink"/>
                  <w:rFonts w:asciiTheme="majorHAnsi" w:eastAsia="Muli" w:hAnsiTheme="majorHAnsi" w:cstheme="majorHAnsi"/>
                  <w:i/>
                  <w:color w:val="1155CC"/>
                </w:rPr>
                <w:t xml:space="preserve">Recordkeeping requirements for non-government </w:t>
              </w:r>
              <w:proofErr w:type="spellStart"/>
              <w:r w:rsidRPr="004D4667">
                <w:rPr>
                  <w:rStyle w:val="Hyperlink"/>
                  <w:rFonts w:asciiTheme="majorHAnsi" w:eastAsia="Muli" w:hAnsiTheme="majorHAnsi" w:cstheme="majorHAnsi"/>
                  <w:i/>
                  <w:color w:val="1155CC"/>
                </w:rPr>
                <w:t>organisations</w:t>
              </w:r>
              <w:proofErr w:type="spellEnd"/>
              <w:r w:rsidRPr="004D4667">
                <w:rPr>
                  <w:rStyle w:val="Hyperlink"/>
                  <w:rFonts w:asciiTheme="majorHAnsi" w:eastAsia="Muli" w:hAnsiTheme="majorHAnsi" w:cstheme="majorHAnsi"/>
                  <w:i/>
                  <w:color w:val="1155CC"/>
                </w:rPr>
                <w:t xml:space="preserve"> - Department of Children, Youth Justice and Multicultural Affairs (cyjma.qld.gov.au)</w:t>
              </w:r>
            </w:hyperlink>
          </w:p>
        </w:tc>
      </w:tr>
      <w:tr w:rsidR="00DC15C5" w:rsidRPr="004D4667" w14:paraId="3A848B6B" w14:textId="77777777" w:rsidTr="008C4EFA">
        <w:tc>
          <w:tcPr>
            <w:tcW w:w="2127" w:type="dxa"/>
            <w:hideMark/>
          </w:tcPr>
          <w:p w14:paraId="7520E138" w14:textId="77777777" w:rsidR="00DC15C5" w:rsidRPr="004D4667" w:rsidRDefault="00DC15C5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lastRenderedPageBreak/>
              <w:t>Children and young people in care</w:t>
            </w:r>
          </w:p>
        </w:tc>
        <w:tc>
          <w:tcPr>
            <w:tcW w:w="7644" w:type="dxa"/>
            <w:hideMark/>
          </w:tcPr>
          <w:p w14:paraId="096D2080" w14:textId="77777777" w:rsidR="00DC15C5" w:rsidRPr="004D4667" w:rsidRDefault="00E84AE6" w:rsidP="00610E0E">
            <w:pPr>
              <w:numPr>
                <w:ilvl w:val="0"/>
                <w:numId w:val="31"/>
              </w:numPr>
              <w:spacing w:before="80" w:after="120"/>
              <w:rPr>
                <w:rFonts w:asciiTheme="majorHAnsi" w:eastAsia="Muli" w:hAnsiTheme="majorHAnsi" w:cstheme="majorHAnsi"/>
              </w:rPr>
            </w:pPr>
            <w:hyperlink r:id="rId16" w:history="1">
              <w:r w:rsidR="00DC15C5" w:rsidRPr="004D4667">
                <w:rPr>
                  <w:rStyle w:val="Hyperlink"/>
                  <w:rFonts w:asciiTheme="majorHAnsi" w:eastAsia="Muli" w:hAnsiTheme="majorHAnsi" w:cstheme="majorHAnsi"/>
                  <w:color w:val="1155CC"/>
                </w:rPr>
                <w:t>Social media guidelines | Community support | Queensland Government (www.qld.gov.au)</w:t>
              </w:r>
            </w:hyperlink>
          </w:p>
        </w:tc>
      </w:tr>
      <w:tr w:rsidR="00DC15C5" w:rsidRPr="004D4667" w14:paraId="71E8831D" w14:textId="77777777" w:rsidTr="008C4EFA">
        <w:tc>
          <w:tcPr>
            <w:tcW w:w="2127" w:type="dxa"/>
            <w:hideMark/>
          </w:tcPr>
          <w:p w14:paraId="09E55533" w14:textId="77777777" w:rsidR="00DC15C5" w:rsidRPr="004D4667" w:rsidRDefault="00DC15C5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>Child Protection Support Services, Families</w:t>
            </w:r>
          </w:p>
          <w:p w14:paraId="3E024A63" w14:textId="77777777" w:rsidR="00DC15C5" w:rsidRPr="004D4667" w:rsidRDefault="00DC15C5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 w:rsidRPr="00167C4F">
              <w:rPr>
                <w:rFonts w:asciiTheme="majorHAnsi" w:eastAsia="Muli" w:hAnsiTheme="majorHAnsi" w:cstheme="majorHAnsi"/>
                <w:highlight w:val="yellow"/>
              </w:rPr>
              <w:t>{remove if not required}</w:t>
            </w:r>
          </w:p>
        </w:tc>
        <w:tc>
          <w:tcPr>
            <w:tcW w:w="7644" w:type="dxa"/>
            <w:hideMark/>
          </w:tcPr>
          <w:p w14:paraId="78EC8F07" w14:textId="77777777" w:rsidR="00DC15C5" w:rsidRPr="004D4667" w:rsidRDefault="00DC15C5" w:rsidP="00610E0E">
            <w:pPr>
              <w:spacing w:before="80"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>Assessment and Service Connect and Family and Child Connect (also known as Community Based Intake and Referral Services)</w:t>
            </w:r>
          </w:p>
          <w:p w14:paraId="2638024B" w14:textId="77777777" w:rsidR="00DC15C5" w:rsidRPr="004D4667" w:rsidRDefault="00E84AE6" w:rsidP="00610E0E">
            <w:pPr>
              <w:numPr>
                <w:ilvl w:val="0"/>
                <w:numId w:val="32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hyperlink r:id="rId17" w:history="1">
              <w:r w:rsidR="00DC15C5" w:rsidRPr="004D4667">
                <w:rPr>
                  <w:rStyle w:val="Hyperlink"/>
                  <w:rFonts w:asciiTheme="majorHAnsi" w:eastAsia="Muli" w:hAnsiTheme="majorHAnsi" w:cstheme="majorHAnsi"/>
                  <w:i/>
                  <w:color w:val="1155CC"/>
                </w:rPr>
                <w:t xml:space="preserve">Funding, </w:t>
              </w:r>
              <w:proofErr w:type="gramStart"/>
              <w:r w:rsidR="00DC15C5" w:rsidRPr="004D4667">
                <w:rPr>
                  <w:rStyle w:val="Hyperlink"/>
                  <w:rFonts w:asciiTheme="majorHAnsi" w:eastAsia="Muli" w:hAnsiTheme="majorHAnsi" w:cstheme="majorHAnsi"/>
                  <w:i/>
                  <w:color w:val="1155CC"/>
                </w:rPr>
                <w:t>grants</w:t>
              </w:r>
              <w:proofErr w:type="gramEnd"/>
              <w:r w:rsidR="00DC15C5" w:rsidRPr="004D4667">
                <w:rPr>
                  <w:rStyle w:val="Hyperlink"/>
                  <w:rFonts w:asciiTheme="majorHAnsi" w:eastAsia="Muli" w:hAnsiTheme="majorHAnsi" w:cstheme="majorHAnsi"/>
                  <w:i/>
                  <w:color w:val="1155CC"/>
                </w:rPr>
                <w:t xml:space="preserve"> and investment - Department of Children, Youth Justice and Multicultural Affairs (cyjma.qld.gov.au)</w:t>
              </w:r>
            </w:hyperlink>
          </w:p>
          <w:p w14:paraId="4DBCCFBC" w14:textId="77777777" w:rsidR="00DC15C5" w:rsidRPr="004D4667" w:rsidRDefault="00DC15C5" w:rsidP="00610E0E">
            <w:pPr>
              <w:numPr>
                <w:ilvl w:val="0"/>
                <w:numId w:val="32"/>
              </w:numPr>
              <w:spacing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t>Information Sharing Guidelines (Section 5A) of the Domestic and Family Violence Act 2012</w:t>
            </w:r>
          </w:p>
          <w:p w14:paraId="5F7A4CFE" w14:textId="77777777" w:rsidR="00DC15C5" w:rsidRPr="004D4667" w:rsidRDefault="00DC15C5" w:rsidP="00610E0E">
            <w:pPr>
              <w:numPr>
                <w:ilvl w:val="0"/>
                <w:numId w:val="32"/>
              </w:numPr>
              <w:spacing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t>Section 159C of Child Protection Act 1999</w:t>
            </w:r>
          </w:p>
        </w:tc>
      </w:tr>
      <w:tr w:rsidR="00DC15C5" w:rsidRPr="004D4667" w14:paraId="21242FD3" w14:textId="77777777" w:rsidTr="008C4EFA">
        <w:tc>
          <w:tcPr>
            <w:tcW w:w="2127" w:type="dxa"/>
            <w:hideMark/>
          </w:tcPr>
          <w:p w14:paraId="7FFADD60" w14:textId="77777777" w:rsidR="00DC15C5" w:rsidRPr="004D4667" w:rsidRDefault="00DC15C5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>Domestic and Family Violence</w:t>
            </w:r>
          </w:p>
          <w:p w14:paraId="560BB72A" w14:textId="77777777" w:rsidR="00DC15C5" w:rsidRPr="004D4667" w:rsidRDefault="00DC15C5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>(Inc. Women’s Shelters)</w:t>
            </w:r>
          </w:p>
          <w:p w14:paraId="1A7EB9E0" w14:textId="77777777" w:rsidR="00DC15C5" w:rsidRPr="004D4667" w:rsidRDefault="00DC15C5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 w:rsidRPr="00167C4F">
              <w:rPr>
                <w:rFonts w:asciiTheme="majorHAnsi" w:eastAsia="Muli" w:hAnsiTheme="majorHAnsi" w:cstheme="majorHAnsi"/>
                <w:highlight w:val="yellow"/>
              </w:rPr>
              <w:t>{remove if not required}</w:t>
            </w:r>
          </w:p>
        </w:tc>
        <w:tc>
          <w:tcPr>
            <w:tcW w:w="7644" w:type="dxa"/>
            <w:hideMark/>
          </w:tcPr>
          <w:p w14:paraId="0AAD8445" w14:textId="77777777" w:rsidR="00DC15C5" w:rsidRPr="004D4667" w:rsidRDefault="00DC15C5" w:rsidP="00610E0E">
            <w:pPr>
              <w:numPr>
                <w:ilvl w:val="0"/>
                <w:numId w:val="33"/>
              </w:numPr>
              <w:spacing w:before="80"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 xml:space="preserve">Part 5A of the </w:t>
            </w:r>
            <w:r w:rsidRPr="004D4667">
              <w:rPr>
                <w:rFonts w:asciiTheme="majorHAnsi" w:eastAsia="Muli" w:hAnsiTheme="majorHAnsi" w:cstheme="majorHAnsi"/>
                <w:i/>
              </w:rPr>
              <w:t>Domestic and Family Violence Protection Act 2012</w:t>
            </w:r>
          </w:p>
          <w:p w14:paraId="3DB7FFE4" w14:textId="77777777" w:rsidR="00DC15C5" w:rsidRPr="004D4667" w:rsidRDefault="00DC15C5" w:rsidP="00610E0E">
            <w:pPr>
              <w:numPr>
                <w:ilvl w:val="0"/>
                <w:numId w:val="33"/>
              </w:numPr>
              <w:spacing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t xml:space="preserve">Domestic and Family Violence Information Sharing Guidelines </w:t>
            </w:r>
            <w:r w:rsidRPr="004D4667">
              <w:rPr>
                <w:rFonts w:asciiTheme="majorHAnsi" w:eastAsia="Muli" w:hAnsiTheme="majorHAnsi" w:cstheme="majorHAnsi"/>
              </w:rPr>
              <w:t>(May 2017)</w:t>
            </w:r>
          </w:p>
          <w:p w14:paraId="56E0A9D7" w14:textId="77777777" w:rsidR="00DC15C5" w:rsidRPr="004D4667" w:rsidRDefault="00DC15C5" w:rsidP="00610E0E">
            <w:pPr>
              <w:numPr>
                <w:ilvl w:val="0"/>
                <w:numId w:val="33"/>
              </w:numPr>
              <w:spacing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 xml:space="preserve">Section 159C of the </w:t>
            </w:r>
            <w:r w:rsidRPr="004D4667">
              <w:rPr>
                <w:rFonts w:asciiTheme="majorHAnsi" w:eastAsia="Muli" w:hAnsiTheme="majorHAnsi" w:cstheme="majorHAnsi"/>
                <w:i/>
              </w:rPr>
              <w:t>Child Protection Act 1999</w:t>
            </w:r>
          </w:p>
          <w:p w14:paraId="03E0790C" w14:textId="77777777" w:rsidR="00DC15C5" w:rsidRPr="004D4667" w:rsidRDefault="00DC15C5" w:rsidP="00610E0E">
            <w:pPr>
              <w:numPr>
                <w:ilvl w:val="0"/>
                <w:numId w:val="33"/>
              </w:numPr>
              <w:spacing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>Principle 5: Confidentiality – Practice Standards for Working with Women Affected by Domestic and Family Violence</w:t>
            </w:r>
          </w:p>
          <w:p w14:paraId="55906FF7" w14:textId="77777777" w:rsidR="00DC15C5" w:rsidRPr="004D4667" w:rsidRDefault="00DC15C5" w:rsidP="00610E0E">
            <w:pPr>
              <w:numPr>
                <w:ilvl w:val="0"/>
                <w:numId w:val="33"/>
              </w:numPr>
              <w:spacing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>Professional Practice Standards for Working with men who perpetrate domestic and family violence</w:t>
            </w:r>
          </w:p>
        </w:tc>
      </w:tr>
      <w:tr w:rsidR="00DC15C5" w:rsidRPr="004D4667" w14:paraId="60C5871B" w14:textId="77777777" w:rsidTr="008C4EFA">
        <w:tc>
          <w:tcPr>
            <w:tcW w:w="2127" w:type="dxa"/>
            <w:hideMark/>
          </w:tcPr>
          <w:p w14:paraId="044B6402" w14:textId="77777777" w:rsidR="00DC15C5" w:rsidRPr="004D4667" w:rsidRDefault="00DC15C5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>Disability Services</w:t>
            </w:r>
          </w:p>
          <w:p w14:paraId="5B485699" w14:textId="77777777" w:rsidR="00DC15C5" w:rsidRPr="004D4667" w:rsidRDefault="00DC15C5" w:rsidP="00610E0E">
            <w:pPr>
              <w:widowControl w:val="0"/>
              <w:spacing w:before="80" w:after="120"/>
              <w:rPr>
                <w:rFonts w:asciiTheme="majorHAnsi" w:eastAsia="Muli" w:hAnsiTheme="majorHAnsi" w:cstheme="majorHAnsi"/>
              </w:rPr>
            </w:pPr>
            <w:r w:rsidRPr="00167C4F">
              <w:rPr>
                <w:rFonts w:asciiTheme="majorHAnsi" w:eastAsia="Muli" w:hAnsiTheme="majorHAnsi" w:cstheme="majorHAnsi"/>
                <w:highlight w:val="yellow"/>
              </w:rPr>
              <w:t>{remove if not required}</w:t>
            </w:r>
            <w:r w:rsidRPr="004D4667">
              <w:rPr>
                <w:rFonts w:asciiTheme="majorHAnsi" w:eastAsia="Muli" w:hAnsiTheme="majorHAnsi" w:cstheme="majorHAnsi"/>
              </w:rPr>
              <w:t xml:space="preserve"> </w:t>
            </w:r>
          </w:p>
        </w:tc>
        <w:tc>
          <w:tcPr>
            <w:tcW w:w="7644" w:type="dxa"/>
            <w:hideMark/>
          </w:tcPr>
          <w:p w14:paraId="012F1C6E" w14:textId="77777777" w:rsidR="00DC15C5" w:rsidRPr="004D4667" w:rsidRDefault="00DC15C5" w:rsidP="00610E0E">
            <w:pPr>
              <w:numPr>
                <w:ilvl w:val="0"/>
                <w:numId w:val="34"/>
              </w:numPr>
              <w:spacing w:before="80" w:after="120"/>
              <w:rPr>
                <w:rFonts w:asciiTheme="majorHAnsi" w:eastAsia="Muli" w:hAnsiTheme="majorHAnsi" w:cstheme="majorHAnsi"/>
                <w:i/>
              </w:rPr>
            </w:pPr>
            <w:r w:rsidRPr="004D4667">
              <w:rPr>
                <w:rFonts w:asciiTheme="majorHAnsi" w:eastAsia="Muli" w:hAnsiTheme="majorHAnsi" w:cstheme="majorHAnsi"/>
                <w:i/>
              </w:rPr>
              <w:t>Disability Services Act 2006</w:t>
            </w:r>
          </w:p>
          <w:p w14:paraId="07624A35" w14:textId="77777777" w:rsidR="00DC15C5" w:rsidRPr="004D4667" w:rsidRDefault="00DC15C5" w:rsidP="00610E0E">
            <w:pPr>
              <w:numPr>
                <w:ilvl w:val="0"/>
                <w:numId w:val="34"/>
              </w:numPr>
              <w:spacing w:after="120"/>
              <w:rPr>
                <w:rFonts w:asciiTheme="majorHAnsi" w:eastAsia="Muli" w:hAnsiTheme="majorHAnsi" w:cstheme="majorHAnsi"/>
              </w:rPr>
            </w:pPr>
            <w:r w:rsidRPr="004D4667">
              <w:rPr>
                <w:rFonts w:asciiTheme="majorHAnsi" w:eastAsia="Muli" w:hAnsiTheme="majorHAnsi" w:cstheme="majorHAnsi"/>
              </w:rPr>
              <w:t xml:space="preserve">Section 9, </w:t>
            </w:r>
            <w:r w:rsidRPr="004D4667">
              <w:rPr>
                <w:rFonts w:asciiTheme="majorHAnsi" w:eastAsia="Muli" w:hAnsiTheme="majorHAnsi" w:cstheme="majorHAnsi"/>
                <w:i/>
              </w:rPr>
              <w:t>Disability Services Regulation 2017</w:t>
            </w:r>
          </w:p>
        </w:tc>
      </w:tr>
    </w:tbl>
    <w:p w14:paraId="14DCF077" w14:textId="77777777" w:rsidR="00DC15C5" w:rsidRPr="004D4667" w:rsidRDefault="00DC15C5" w:rsidP="00610E0E">
      <w:pPr>
        <w:pStyle w:val="Heading1"/>
        <w:spacing w:after="120"/>
        <w:rPr>
          <w:rFonts w:eastAsia="Muli" w:cstheme="majorHAnsi"/>
          <w:szCs w:val="36"/>
          <w:lang w:val="en-AU"/>
        </w:rPr>
      </w:pPr>
      <w:r w:rsidRPr="004D4667">
        <w:rPr>
          <w:rFonts w:eastAsia="Muli" w:cstheme="majorHAnsi"/>
        </w:rPr>
        <w:t>Definitions</w:t>
      </w:r>
    </w:p>
    <w:tbl>
      <w:tblPr>
        <w:tblStyle w:val="PlainTable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7644"/>
      </w:tblGrid>
      <w:tr w:rsidR="00DC15C5" w:rsidRPr="004D4667" w14:paraId="6A360B5A" w14:textId="77777777" w:rsidTr="008C4EFA">
        <w:tc>
          <w:tcPr>
            <w:tcW w:w="2127" w:type="dxa"/>
            <w:hideMark/>
          </w:tcPr>
          <w:p w14:paraId="7B01B256" w14:textId="77777777" w:rsidR="00DC15C5" w:rsidRPr="004D4667" w:rsidRDefault="00DC15C5">
            <w:pPr>
              <w:widowControl w:val="0"/>
              <w:spacing w:before="80" w:after="80"/>
              <w:rPr>
                <w:rFonts w:asciiTheme="majorHAnsi" w:eastAsia="Muli" w:hAnsiTheme="majorHAnsi" w:cstheme="majorHAnsi"/>
              </w:rPr>
            </w:pPr>
            <w:r w:rsidRPr="00167C4F">
              <w:rPr>
                <w:rFonts w:asciiTheme="majorHAnsi" w:eastAsia="Muli" w:hAnsiTheme="majorHAnsi" w:cstheme="majorHAnsi"/>
                <w:highlight w:val="yellow"/>
              </w:rPr>
              <w:t xml:space="preserve">{add definitions relevant to your </w:t>
            </w:r>
            <w:proofErr w:type="spellStart"/>
            <w:r w:rsidRPr="00167C4F">
              <w:rPr>
                <w:rFonts w:asciiTheme="majorHAnsi" w:eastAsia="Muli" w:hAnsiTheme="majorHAnsi" w:cstheme="majorHAnsi"/>
                <w:highlight w:val="yellow"/>
              </w:rPr>
              <w:t>organisation</w:t>
            </w:r>
            <w:proofErr w:type="spellEnd"/>
            <w:r w:rsidRPr="00167C4F">
              <w:rPr>
                <w:rFonts w:asciiTheme="majorHAnsi" w:eastAsia="Muli" w:hAnsiTheme="majorHAnsi" w:cstheme="majorHAnsi"/>
                <w:highlight w:val="yellow"/>
              </w:rPr>
              <w:t>}</w:t>
            </w:r>
            <w:bookmarkStart w:id="4" w:name="_heading=h.xrmd879rg8mq"/>
            <w:bookmarkEnd w:id="4"/>
          </w:p>
        </w:tc>
        <w:tc>
          <w:tcPr>
            <w:tcW w:w="7644" w:type="dxa"/>
          </w:tcPr>
          <w:p w14:paraId="0B23746C" w14:textId="626C0E4B" w:rsidR="00DC15C5" w:rsidRPr="004D4667" w:rsidRDefault="00F76548" w:rsidP="00DC15C5">
            <w:pPr>
              <w:numPr>
                <w:ilvl w:val="0"/>
                <w:numId w:val="34"/>
              </w:numPr>
              <w:spacing w:after="80"/>
              <w:rPr>
                <w:rFonts w:asciiTheme="majorHAnsi" w:eastAsia="Muli" w:hAnsiTheme="majorHAnsi" w:cstheme="majorHAnsi"/>
              </w:rPr>
            </w:pPr>
            <w:r>
              <w:rPr>
                <w:rFonts w:asciiTheme="majorHAnsi" w:eastAsia="Muli" w:hAnsiTheme="majorHAnsi" w:cstheme="majorHAnsi"/>
              </w:rPr>
              <w:br/>
            </w:r>
            <w:r>
              <w:rPr>
                <w:rFonts w:asciiTheme="majorHAnsi" w:eastAsia="Muli" w:hAnsiTheme="majorHAnsi" w:cstheme="majorHAnsi"/>
              </w:rPr>
              <w:br/>
            </w:r>
            <w:r>
              <w:rPr>
                <w:rFonts w:asciiTheme="majorHAnsi" w:eastAsia="Muli" w:hAnsiTheme="majorHAnsi" w:cstheme="majorHAnsi"/>
              </w:rPr>
              <w:br/>
            </w:r>
            <w:r>
              <w:rPr>
                <w:rFonts w:asciiTheme="majorHAnsi" w:eastAsia="Muli" w:hAnsiTheme="majorHAnsi" w:cstheme="majorHAnsi"/>
              </w:rPr>
              <w:br/>
            </w:r>
            <w:r>
              <w:rPr>
                <w:rFonts w:asciiTheme="majorHAnsi" w:eastAsia="Muli" w:hAnsiTheme="majorHAnsi" w:cstheme="majorHAnsi"/>
              </w:rPr>
              <w:br/>
            </w:r>
          </w:p>
        </w:tc>
      </w:tr>
    </w:tbl>
    <w:p w14:paraId="752DE010" w14:textId="77777777" w:rsidR="0013660E" w:rsidRPr="004D4667" w:rsidRDefault="0013660E" w:rsidP="0013660E">
      <w:pPr>
        <w:rPr>
          <w:rFonts w:asciiTheme="majorHAnsi" w:hAnsiTheme="majorHAnsi" w:cstheme="majorHAnsi"/>
        </w:rPr>
      </w:pPr>
    </w:p>
    <w:p w14:paraId="34A20211" w14:textId="77777777" w:rsidR="0013660E" w:rsidRPr="004D4667" w:rsidRDefault="0013660E" w:rsidP="0013660E">
      <w:pPr>
        <w:rPr>
          <w:rFonts w:asciiTheme="majorHAnsi" w:hAnsiTheme="majorHAnsi" w:cstheme="majorHAnsi"/>
        </w:rPr>
      </w:pPr>
    </w:p>
    <w:p w14:paraId="2623835E" w14:textId="0F4AE7B0" w:rsidR="0013660E" w:rsidRPr="004D4667" w:rsidRDefault="00167C4F" w:rsidP="001366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21803A35" w14:textId="77777777" w:rsidR="0013660E" w:rsidRPr="004D4667" w:rsidRDefault="0013660E" w:rsidP="0013660E">
      <w:pPr>
        <w:rPr>
          <w:rFonts w:asciiTheme="majorHAnsi" w:hAnsiTheme="majorHAnsi" w:cstheme="majorHAnsi"/>
        </w:rPr>
      </w:pPr>
      <w:r w:rsidRPr="004D4667">
        <w:rPr>
          <w:rFonts w:asciiTheme="majorHAnsi" w:hAnsiTheme="majorHAnsi" w:cstheme="majorHAnsi"/>
        </w:rPr>
        <w:br/>
      </w:r>
    </w:p>
    <w:p w14:paraId="365E7DC6" w14:textId="6E72D11F" w:rsidR="00DC15C5" w:rsidRPr="004D4667" w:rsidRDefault="00DC15C5" w:rsidP="00F76548">
      <w:pPr>
        <w:pStyle w:val="Heading1"/>
        <w:spacing w:before="0"/>
        <w:rPr>
          <w:rFonts w:eastAsia="Muli" w:cstheme="majorHAnsi"/>
          <w:sz w:val="32"/>
          <w:szCs w:val="26"/>
          <w:lang w:val="en-AU"/>
        </w:rPr>
      </w:pPr>
      <w:r w:rsidRPr="004D4667">
        <w:rPr>
          <w:rFonts w:eastAsia="Muli" w:cstheme="majorHAnsi"/>
        </w:rPr>
        <w:lastRenderedPageBreak/>
        <w:t>Principles</w:t>
      </w:r>
    </w:p>
    <w:p w14:paraId="620BD4FE" w14:textId="77777777" w:rsidR="00DC15C5" w:rsidRPr="004D4667" w:rsidRDefault="00DC15C5" w:rsidP="007A4061">
      <w:p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The principles to support the </w:t>
      </w:r>
      <w:proofErr w:type="spellStart"/>
      <w:r w:rsidRPr="004D4667">
        <w:rPr>
          <w:rFonts w:asciiTheme="majorHAnsi" w:eastAsia="Muli" w:hAnsiTheme="majorHAnsi" w:cstheme="majorHAnsi"/>
        </w:rPr>
        <w:t>organisation's</w:t>
      </w:r>
      <w:proofErr w:type="spellEnd"/>
      <w:r w:rsidRPr="004D4667">
        <w:rPr>
          <w:rFonts w:asciiTheme="majorHAnsi" w:eastAsia="Muli" w:hAnsiTheme="majorHAnsi" w:cstheme="majorHAnsi"/>
        </w:rPr>
        <w:t xml:space="preserve"> information and records management are: </w:t>
      </w:r>
    </w:p>
    <w:p w14:paraId="7AF6F9B9" w14:textId="77777777" w:rsidR="00DC15C5" w:rsidRPr="004D4667" w:rsidRDefault="00DC15C5" w:rsidP="007A4061">
      <w:pPr>
        <w:numPr>
          <w:ilvl w:val="0"/>
          <w:numId w:val="35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Secure - personal information is kept safe, including physical, </w:t>
      </w:r>
      <w:proofErr w:type="gramStart"/>
      <w:r w:rsidRPr="004D4667">
        <w:rPr>
          <w:rFonts w:asciiTheme="majorHAnsi" w:eastAsia="Muli" w:hAnsiTheme="majorHAnsi" w:cstheme="majorHAnsi"/>
        </w:rPr>
        <w:t>digital</w:t>
      </w:r>
      <w:proofErr w:type="gramEnd"/>
      <w:r w:rsidRPr="004D4667">
        <w:rPr>
          <w:rFonts w:asciiTheme="majorHAnsi" w:eastAsia="Muli" w:hAnsiTheme="majorHAnsi" w:cstheme="majorHAnsi"/>
        </w:rPr>
        <w:t xml:space="preserve"> and administrative protections</w:t>
      </w:r>
    </w:p>
    <w:p w14:paraId="6FD72C29" w14:textId="77777777" w:rsidR="00DC15C5" w:rsidRPr="004D4667" w:rsidRDefault="00DC15C5" w:rsidP="007A4061">
      <w:pPr>
        <w:numPr>
          <w:ilvl w:val="0"/>
          <w:numId w:val="25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Skilled - staff are trained and understand their obligations to manage records, information transfer, and privacy and confidentiality. </w:t>
      </w:r>
    </w:p>
    <w:p w14:paraId="2CC607C6" w14:textId="77777777" w:rsidR="00DC15C5" w:rsidRPr="004D4667" w:rsidRDefault="00DC15C5" w:rsidP="007A4061">
      <w:pPr>
        <w:pStyle w:val="Heading1"/>
        <w:spacing w:before="120"/>
        <w:rPr>
          <w:rFonts w:eastAsia="Muli" w:cstheme="majorHAnsi"/>
        </w:rPr>
      </w:pPr>
      <w:r w:rsidRPr="004D4667">
        <w:rPr>
          <w:rFonts w:eastAsia="Muli" w:cstheme="majorHAnsi"/>
        </w:rPr>
        <w:t>Procedure</w:t>
      </w:r>
    </w:p>
    <w:p w14:paraId="4424F98A" w14:textId="77777777" w:rsidR="00DC15C5" w:rsidRPr="004D4667" w:rsidRDefault="00DC15C5" w:rsidP="007A4061">
      <w:pPr>
        <w:pStyle w:val="Heading2"/>
        <w:rPr>
          <w:rFonts w:eastAsia="Muli"/>
          <w:sz w:val="24"/>
          <w:szCs w:val="24"/>
        </w:rPr>
      </w:pPr>
      <w:r w:rsidRPr="004D4667">
        <w:rPr>
          <w:rFonts w:eastAsia="Muli"/>
        </w:rPr>
        <w:t>Client records and information</w:t>
      </w:r>
    </w:p>
    <w:p w14:paraId="59860F54" w14:textId="77777777" w:rsidR="00DC15C5" w:rsidRPr="00167C4F" w:rsidRDefault="00DC15C5" w:rsidP="007A4061">
      <w:pPr>
        <w:numPr>
          <w:ilvl w:val="0"/>
          <w:numId w:val="25"/>
        </w:numPr>
        <w:spacing w:before="120" w:after="1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{</w:t>
      </w:r>
      <w:proofErr w:type="spellStart"/>
      <w:r w:rsidRPr="00167C4F">
        <w:rPr>
          <w:rFonts w:asciiTheme="majorHAnsi" w:eastAsia="Muli" w:hAnsiTheme="majorHAnsi" w:cstheme="majorHAnsi"/>
          <w:highlight w:val="yellow"/>
        </w:rPr>
        <w:t>Organisation</w:t>
      </w:r>
      <w:proofErr w:type="spellEnd"/>
      <w:r w:rsidRPr="00167C4F">
        <w:rPr>
          <w:rFonts w:asciiTheme="majorHAnsi" w:eastAsia="Muli" w:hAnsiTheme="majorHAnsi" w:cstheme="majorHAnsi"/>
          <w:highlight w:val="yellow"/>
        </w:rPr>
        <w:t xml:space="preserve"> name} </w:t>
      </w:r>
      <w:r w:rsidRPr="004D4667">
        <w:rPr>
          <w:rFonts w:asciiTheme="majorHAnsi" w:eastAsia="Muli" w:hAnsiTheme="majorHAnsi" w:cstheme="majorHAnsi"/>
        </w:rPr>
        <w:t>manages client records and information by:</w:t>
      </w:r>
    </w:p>
    <w:p w14:paraId="0706EE73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{Describe here how you handle client records and information, including: </w:t>
      </w:r>
    </w:p>
    <w:p w14:paraId="2FF65897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Where they are kept </w:t>
      </w:r>
    </w:p>
    <w:p w14:paraId="18B17625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>How you prevent damage and loss</w:t>
      </w:r>
    </w:p>
    <w:p w14:paraId="6B0E2262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>Retention periods</w:t>
      </w:r>
    </w:p>
    <w:p w14:paraId="184A0B9B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>How you dispose of them</w:t>
      </w:r>
    </w:p>
    <w:p w14:paraId="6BABF27A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How you maintain privacy and confidentiality </w:t>
      </w:r>
    </w:p>
    <w:p w14:paraId="3E8222DD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Who has access to them, and how you disclose </w:t>
      </w:r>
      <w:proofErr w:type="gramStart"/>
      <w:r w:rsidRPr="00167C4F">
        <w:rPr>
          <w:rFonts w:asciiTheme="majorHAnsi" w:eastAsia="Muli" w:hAnsiTheme="majorHAnsi" w:cstheme="majorHAnsi"/>
          <w:highlight w:val="yellow"/>
        </w:rPr>
        <w:t>information.</w:t>
      </w:r>
      <w:proofErr w:type="gramEnd"/>
      <w:r w:rsidRPr="00167C4F">
        <w:rPr>
          <w:rFonts w:asciiTheme="majorHAnsi" w:eastAsia="Muli" w:hAnsiTheme="majorHAnsi" w:cstheme="majorHAnsi"/>
          <w:highlight w:val="yellow"/>
        </w:rPr>
        <w:t xml:space="preserve"> Include access tiers if applicable}</w:t>
      </w:r>
    </w:p>
    <w:p w14:paraId="21804B88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{Reference applicable legislation, </w:t>
      </w:r>
      <w:proofErr w:type="gramStart"/>
      <w:r w:rsidRPr="00167C4F">
        <w:rPr>
          <w:rFonts w:asciiTheme="majorHAnsi" w:eastAsia="Muli" w:hAnsiTheme="majorHAnsi" w:cstheme="majorHAnsi"/>
          <w:highlight w:val="yellow"/>
        </w:rPr>
        <w:t>e.g.</w:t>
      </w:r>
      <w:proofErr w:type="gramEnd"/>
      <w:r w:rsidRPr="00167C4F">
        <w:rPr>
          <w:rFonts w:asciiTheme="majorHAnsi" w:eastAsia="Muli" w:hAnsiTheme="majorHAnsi" w:cstheme="majorHAnsi"/>
          <w:highlight w:val="yellow"/>
        </w:rPr>
        <w:t xml:space="preserve"> for families and child protection placement and support services, references the requirements for maintaining records and files in accordance with the </w:t>
      </w:r>
      <w:r w:rsidRPr="00167C4F">
        <w:rPr>
          <w:rFonts w:asciiTheme="majorHAnsi" w:eastAsia="Muli" w:hAnsiTheme="majorHAnsi" w:cstheme="majorHAnsi"/>
          <w:i/>
          <w:highlight w:val="yellow"/>
        </w:rPr>
        <w:t>Child Protection Regulation 2011</w:t>
      </w:r>
      <w:r w:rsidRPr="00167C4F">
        <w:rPr>
          <w:rFonts w:asciiTheme="majorHAnsi" w:eastAsia="Muli" w:hAnsiTheme="majorHAnsi" w:cstheme="majorHAnsi"/>
          <w:highlight w:val="yellow"/>
        </w:rPr>
        <w:t xml:space="preserve"> and your </w:t>
      </w:r>
      <w:r w:rsidRPr="00167C4F">
        <w:rPr>
          <w:rFonts w:asciiTheme="majorHAnsi" w:eastAsia="Muli" w:hAnsiTheme="majorHAnsi" w:cstheme="majorHAnsi"/>
          <w:i/>
          <w:highlight w:val="yellow"/>
        </w:rPr>
        <w:t>Service Agreement</w:t>
      </w:r>
      <w:r w:rsidRPr="00167C4F">
        <w:rPr>
          <w:rFonts w:asciiTheme="majorHAnsi" w:eastAsia="Muli" w:hAnsiTheme="majorHAnsi" w:cstheme="majorHAnsi"/>
          <w:highlight w:val="yellow"/>
        </w:rPr>
        <w:t>}</w:t>
      </w:r>
    </w:p>
    <w:p w14:paraId="51DE72AD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{Reference the guidelines and principles where electronic monitoring is in use, e.g., Disability Accommodation Services and Women's Shelters as referenced in </w:t>
      </w:r>
      <w:r w:rsidRPr="00167C4F">
        <w:rPr>
          <w:rFonts w:asciiTheme="majorHAnsi" w:eastAsia="Muli" w:hAnsiTheme="majorHAnsi" w:cstheme="majorHAnsi"/>
          <w:i/>
          <w:highlight w:val="yellow"/>
        </w:rPr>
        <w:t>Appendix A - Regulated Legislation</w:t>
      </w:r>
      <w:r w:rsidRPr="00167C4F">
        <w:rPr>
          <w:rFonts w:asciiTheme="majorHAnsi" w:eastAsia="Muli" w:hAnsiTheme="majorHAnsi" w:cstheme="majorHAnsi"/>
          <w:highlight w:val="yellow"/>
        </w:rPr>
        <w:t xml:space="preserve">} </w:t>
      </w:r>
    </w:p>
    <w:p w14:paraId="5DE2419E" w14:textId="77777777" w:rsidR="00DC15C5" w:rsidRPr="004D4667" w:rsidRDefault="00DC15C5" w:rsidP="007A4061">
      <w:pPr>
        <w:pStyle w:val="Heading2"/>
        <w:rPr>
          <w:rFonts w:eastAsia="Muli"/>
        </w:rPr>
      </w:pPr>
      <w:r w:rsidRPr="004D4667">
        <w:rPr>
          <w:rFonts w:eastAsia="Muli"/>
        </w:rPr>
        <w:t>Staff and volunteer records and information</w:t>
      </w:r>
    </w:p>
    <w:p w14:paraId="4BFC4462" w14:textId="77777777" w:rsidR="00DC15C5" w:rsidRPr="00167C4F" w:rsidRDefault="00DC15C5" w:rsidP="007A4061">
      <w:pPr>
        <w:numPr>
          <w:ilvl w:val="0"/>
          <w:numId w:val="37"/>
        </w:numPr>
        <w:spacing w:before="120" w:after="1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{</w:t>
      </w:r>
      <w:proofErr w:type="spellStart"/>
      <w:r w:rsidRPr="00167C4F">
        <w:rPr>
          <w:rFonts w:asciiTheme="majorHAnsi" w:eastAsia="Muli" w:hAnsiTheme="majorHAnsi" w:cstheme="majorHAnsi"/>
          <w:highlight w:val="yellow"/>
        </w:rPr>
        <w:t>Organisation</w:t>
      </w:r>
      <w:proofErr w:type="spellEnd"/>
      <w:r w:rsidRPr="00167C4F">
        <w:rPr>
          <w:rFonts w:asciiTheme="majorHAnsi" w:eastAsia="Muli" w:hAnsiTheme="majorHAnsi" w:cstheme="majorHAnsi"/>
          <w:highlight w:val="yellow"/>
        </w:rPr>
        <w:t xml:space="preserve"> name} </w:t>
      </w:r>
      <w:r w:rsidRPr="004D4667">
        <w:rPr>
          <w:rFonts w:asciiTheme="majorHAnsi" w:eastAsia="Muli" w:hAnsiTheme="majorHAnsi" w:cstheme="majorHAnsi"/>
        </w:rPr>
        <w:t>manages staff and volunteer records and information by:</w:t>
      </w:r>
    </w:p>
    <w:p w14:paraId="27D8325A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{Describe here how you manage staff and volunteer records and information, including:</w:t>
      </w:r>
    </w:p>
    <w:p w14:paraId="2C107CDD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Where they are kept</w:t>
      </w:r>
    </w:p>
    <w:p w14:paraId="0F92FFC8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How you prevent damage and loss</w:t>
      </w:r>
    </w:p>
    <w:p w14:paraId="156B58CD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Who has access to </w:t>
      </w:r>
      <w:proofErr w:type="gramStart"/>
      <w:r w:rsidRPr="00167C4F">
        <w:rPr>
          <w:rFonts w:asciiTheme="majorHAnsi" w:eastAsia="Muli" w:hAnsiTheme="majorHAnsi" w:cstheme="majorHAnsi"/>
          <w:highlight w:val="yellow"/>
        </w:rPr>
        <w:t>them.</w:t>
      </w:r>
      <w:proofErr w:type="gramEnd"/>
      <w:r w:rsidRPr="00167C4F">
        <w:rPr>
          <w:rFonts w:asciiTheme="majorHAnsi" w:eastAsia="Muli" w:hAnsiTheme="majorHAnsi" w:cstheme="majorHAnsi"/>
          <w:highlight w:val="yellow"/>
        </w:rPr>
        <w:t xml:space="preserve"> Include access tiers if applicable}</w:t>
      </w:r>
    </w:p>
    <w:p w14:paraId="523A6C57" w14:textId="77777777" w:rsidR="00DC15C5" w:rsidRPr="004D4667" w:rsidRDefault="00DC15C5" w:rsidP="007A4061">
      <w:pPr>
        <w:pStyle w:val="Heading2"/>
        <w:rPr>
          <w:rFonts w:eastAsia="Muli"/>
        </w:rPr>
      </w:pPr>
      <w:r w:rsidRPr="004D4667">
        <w:rPr>
          <w:rFonts w:eastAsia="Muli"/>
        </w:rPr>
        <w:t>Accessing and amending records</w:t>
      </w:r>
    </w:p>
    <w:p w14:paraId="265B2477" w14:textId="77777777" w:rsidR="00DC15C5" w:rsidRPr="004D4667" w:rsidRDefault="00DC15C5" w:rsidP="007A4061">
      <w:pPr>
        <w:widowControl w:val="0"/>
        <w:numPr>
          <w:ilvl w:val="0"/>
          <w:numId w:val="38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Clients are made aware of their right to access their personal information by: </w:t>
      </w:r>
    </w:p>
    <w:p w14:paraId="1192C16D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>{Include: communication method here}</w:t>
      </w:r>
    </w:p>
    <w:p w14:paraId="46131E0E" w14:textId="77777777" w:rsidR="00DC15C5" w:rsidRPr="004D4667" w:rsidRDefault="00DC15C5" w:rsidP="007A4061">
      <w:pPr>
        <w:widowControl w:val="0"/>
        <w:numPr>
          <w:ilvl w:val="0"/>
          <w:numId w:val="39"/>
        </w:numPr>
        <w:spacing w:before="120" w:after="120"/>
        <w:rPr>
          <w:rFonts w:asciiTheme="majorHAnsi" w:eastAsia="Muli" w:hAnsiTheme="majorHAnsi" w:cstheme="majorHAnsi"/>
          <w:color w:val="000000"/>
        </w:rPr>
      </w:pPr>
      <w:r w:rsidRPr="004D4667">
        <w:rPr>
          <w:rFonts w:asciiTheme="majorHAnsi" w:eastAsia="Muli" w:hAnsiTheme="majorHAnsi" w:cstheme="majorHAnsi"/>
          <w:color w:val="000000"/>
        </w:rPr>
        <w:t>Clients and staff have the right to:</w:t>
      </w:r>
    </w:p>
    <w:p w14:paraId="6674E669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Request access to their personal information without providing a reason</w:t>
      </w:r>
    </w:p>
    <w:p w14:paraId="2DB8367E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color w:val="000000"/>
        </w:rPr>
      </w:pPr>
      <w:r w:rsidRPr="004D4667">
        <w:rPr>
          <w:rFonts w:asciiTheme="majorHAnsi" w:eastAsia="Muli" w:hAnsiTheme="majorHAnsi" w:cstheme="majorHAnsi"/>
        </w:rPr>
        <w:t>M</w:t>
      </w:r>
      <w:r w:rsidRPr="004D4667">
        <w:rPr>
          <w:rFonts w:asciiTheme="majorHAnsi" w:eastAsia="Muli" w:hAnsiTheme="majorHAnsi" w:cstheme="majorHAnsi"/>
          <w:color w:val="000000"/>
        </w:rPr>
        <w:t xml:space="preserve">ake corrections if they consider the information is not accurate, </w:t>
      </w:r>
      <w:proofErr w:type="gramStart"/>
      <w:r w:rsidRPr="004D4667">
        <w:rPr>
          <w:rFonts w:asciiTheme="majorHAnsi" w:eastAsia="Muli" w:hAnsiTheme="majorHAnsi" w:cstheme="majorHAnsi"/>
          <w:color w:val="000000"/>
        </w:rPr>
        <w:t>incomplete</w:t>
      </w:r>
      <w:proofErr w:type="gramEnd"/>
      <w:r w:rsidRPr="004D4667">
        <w:rPr>
          <w:rFonts w:asciiTheme="majorHAnsi" w:eastAsia="Muli" w:hAnsiTheme="majorHAnsi" w:cstheme="majorHAnsi"/>
          <w:color w:val="000000"/>
        </w:rPr>
        <w:t xml:space="preserve"> or not up to date.</w:t>
      </w:r>
    </w:p>
    <w:p w14:paraId="0F0F4C47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color w:val="000000"/>
        </w:rPr>
      </w:pPr>
      <w:r w:rsidRPr="004D4667">
        <w:rPr>
          <w:rFonts w:asciiTheme="majorHAnsi" w:eastAsia="Muli" w:hAnsiTheme="majorHAnsi" w:cstheme="majorHAnsi"/>
          <w:color w:val="000000"/>
        </w:rPr>
        <w:t xml:space="preserve">The </w:t>
      </w:r>
      <w:r w:rsidRPr="00167C4F">
        <w:rPr>
          <w:rFonts w:asciiTheme="majorHAnsi" w:eastAsia="Muli" w:hAnsiTheme="majorHAnsi" w:cstheme="majorHAnsi"/>
          <w:highlight w:val="yellow"/>
        </w:rPr>
        <w:t>{</w:t>
      </w:r>
      <w:proofErr w:type="gramStart"/>
      <w:r w:rsidRPr="00167C4F">
        <w:rPr>
          <w:rFonts w:asciiTheme="majorHAnsi" w:eastAsia="Muli" w:hAnsiTheme="majorHAnsi" w:cstheme="majorHAnsi"/>
          <w:highlight w:val="yellow"/>
        </w:rPr>
        <w:t>include:</w:t>
      </w:r>
      <w:proofErr w:type="gramEnd"/>
      <w:r w:rsidRPr="00167C4F">
        <w:rPr>
          <w:rFonts w:asciiTheme="majorHAnsi" w:eastAsia="Muli" w:hAnsiTheme="majorHAnsi" w:cstheme="majorHAnsi"/>
          <w:highlight w:val="yellow"/>
        </w:rPr>
        <w:t xml:space="preserve"> </w:t>
      </w:r>
      <w:r w:rsidRPr="00167C4F">
        <w:rPr>
          <w:rFonts w:asciiTheme="majorHAnsi" w:eastAsia="Muli" w:hAnsiTheme="majorHAnsi" w:cstheme="majorHAnsi"/>
          <w:color w:val="000000"/>
          <w:highlight w:val="yellow"/>
        </w:rPr>
        <w:t>Position Title</w:t>
      </w:r>
      <w:r w:rsidRPr="00167C4F">
        <w:rPr>
          <w:rFonts w:asciiTheme="majorHAnsi" w:eastAsia="Muli" w:hAnsiTheme="majorHAnsi" w:cstheme="majorHAnsi"/>
          <w:highlight w:val="yellow"/>
        </w:rPr>
        <w:t>}</w:t>
      </w:r>
      <w:r w:rsidRPr="004D4667">
        <w:rPr>
          <w:rFonts w:asciiTheme="majorHAnsi" w:eastAsia="Muli" w:hAnsiTheme="majorHAnsi" w:cstheme="majorHAnsi"/>
          <w:color w:val="000000"/>
        </w:rPr>
        <w:t xml:space="preserve"> decides to grant access or to amend personal information.</w:t>
      </w:r>
      <w:r w:rsidRPr="00167C4F">
        <w:rPr>
          <w:rFonts w:asciiTheme="majorHAnsi" w:eastAsia="Muli" w:hAnsiTheme="majorHAnsi" w:cstheme="majorHAnsi"/>
          <w:color w:val="000000"/>
          <w:highlight w:val="yellow"/>
        </w:rPr>
        <w:t xml:space="preserve"> {include</w:t>
      </w:r>
      <w:r w:rsidRPr="00167C4F">
        <w:rPr>
          <w:rFonts w:asciiTheme="majorHAnsi" w:eastAsia="Muli" w:hAnsiTheme="majorHAnsi" w:cstheme="majorHAnsi"/>
          <w:highlight w:val="yellow"/>
        </w:rPr>
        <w:t xml:space="preserve">: </w:t>
      </w:r>
      <w:r w:rsidRPr="00167C4F">
        <w:rPr>
          <w:rFonts w:asciiTheme="majorHAnsi" w:eastAsia="Muli" w:hAnsiTheme="majorHAnsi" w:cstheme="majorHAnsi"/>
          <w:color w:val="000000"/>
          <w:highlight w:val="yellow"/>
        </w:rPr>
        <w:t xml:space="preserve">how information </w:t>
      </w:r>
      <w:r w:rsidRPr="00167C4F">
        <w:rPr>
          <w:rFonts w:asciiTheme="majorHAnsi" w:eastAsia="Muli" w:hAnsiTheme="majorHAnsi" w:cstheme="majorHAnsi"/>
          <w:highlight w:val="yellow"/>
        </w:rPr>
        <w:t>is</w:t>
      </w:r>
      <w:r w:rsidRPr="00167C4F">
        <w:rPr>
          <w:rFonts w:asciiTheme="majorHAnsi" w:eastAsia="Muli" w:hAnsiTheme="majorHAnsi" w:cstheme="majorHAnsi"/>
          <w:color w:val="000000"/>
          <w:highlight w:val="yellow"/>
        </w:rPr>
        <w:t xml:space="preserve"> provided when requested, </w:t>
      </w:r>
      <w:proofErr w:type="gramStart"/>
      <w:r w:rsidRPr="00167C4F">
        <w:rPr>
          <w:rFonts w:asciiTheme="majorHAnsi" w:eastAsia="Muli" w:hAnsiTheme="majorHAnsi" w:cstheme="majorHAnsi"/>
          <w:color w:val="000000"/>
          <w:highlight w:val="yellow"/>
        </w:rPr>
        <w:t>e.g.</w:t>
      </w:r>
      <w:proofErr w:type="gramEnd"/>
      <w:r w:rsidRPr="00167C4F">
        <w:rPr>
          <w:rFonts w:asciiTheme="majorHAnsi" w:eastAsia="Muli" w:hAnsiTheme="majorHAnsi" w:cstheme="majorHAnsi"/>
          <w:color w:val="000000"/>
          <w:highlight w:val="yellow"/>
        </w:rPr>
        <w:t xml:space="preserve"> only in hard copy</w:t>
      </w:r>
      <w:r w:rsidRPr="00167C4F">
        <w:rPr>
          <w:rFonts w:asciiTheme="majorHAnsi" w:eastAsia="Muli" w:hAnsiTheme="majorHAnsi" w:cstheme="majorHAnsi"/>
          <w:highlight w:val="yellow"/>
        </w:rPr>
        <w:t>}</w:t>
      </w:r>
    </w:p>
    <w:p w14:paraId="58EE04BA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color w:val="000000"/>
        </w:rPr>
      </w:pPr>
      <w:r w:rsidRPr="004D4667">
        <w:rPr>
          <w:rFonts w:asciiTheme="majorHAnsi" w:eastAsia="Muli" w:hAnsiTheme="majorHAnsi" w:cstheme="majorHAnsi"/>
          <w:color w:val="000000"/>
        </w:rPr>
        <w:t xml:space="preserve">If access is denied or delayed, </w:t>
      </w:r>
      <w:r w:rsidRPr="00167C4F">
        <w:rPr>
          <w:rFonts w:asciiTheme="majorHAnsi" w:eastAsia="Muli" w:hAnsiTheme="majorHAnsi" w:cstheme="majorHAnsi"/>
          <w:highlight w:val="yellow"/>
        </w:rPr>
        <w:t>{</w:t>
      </w:r>
      <w:proofErr w:type="gramStart"/>
      <w:r w:rsidRPr="00167C4F">
        <w:rPr>
          <w:rFonts w:asciiTheme="majorHAnsi" w:eastAsia="Muli" w:hAnsiTheme="majorHAnsi" w:cstheme="majorHAnsi"/>
          <w:highlight w:val="yellow"/>
        </w:rPr>
        <w:t>include:</w:t>
      </w:r>
      <w:proofErr w:type="gramEnd"/>
      <w:r w:rsidRPr="00167C4F">
        <w:rPr>
          <w:rFonts w:asciiTheme="majorHAnsi" w:eastAsia="Muli" w:hAnsiTheme="majorHAnsi" w:cstheme="majorHAnsi"/>
          <w:highlight w:val="yellow"/>
        </w:rPr>
        <w:t xml:space="preserve"> </w:t>
      </w:r>
      <w:r w:rsidRPr="00167C4F">
        <w:rPr>
          <w:rFonts w:asciiTheme="majorHAnsi" w:eastAsia="Muli" w:hAnsiTheme="majorHAnsi" w:cstheme="majorHAnsi"/>
          <w:color w:val="000000"/>
          <w:highlight w:val="yellow"/>
        </w:rPr>
        <w:t>Position Title</w:t>
      </w:r>
      <w:r w:rsidRPr="00167C4F">
        <w:rPr>
          <w:rFonts w:asciiTheme="majorHAnsi" w:eastAsia="Muli" w:hAnsiTheme="majorHAnsi" w:cstheme="majorHAnsi"/>
          <w:highlight w:val="yellow"/>
        </w:rPr>
        <w:t>}</w:t>
      </w:r>
      <w:r w:rsidRPr="004D4667">
        <w:rPr>
          <w:rFonts w:asciiTheme="majorHAnsi" w:eastAsia="Muli" w:hAnsiTheme="majorHAnsi" w:cstheme="majorHAnsi"/>
          <w:color w:val="000000"/>
        </w:rPr>
        <w:t xml:space="preserve">: </w:t>
      </w:r>
    </w:p>
    <w:p w14:paraId="3E38319B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color w:val="000000"/>
        </w:rPr>
      </w:pPr>
      <w:r w:rsidRPr="00167C4F">
        <w:rPr>
          <w:rFonts w:asciiTheme="majorHAnsi" w:eastAsia="Muli" w:hAnsiTheme="majorHAnsi" w:cstheme="majorHAnsi"/>
          <w:highlight w:val="yellow"/>
        </w:rPr>
        <w:t>{Include: other processes such as informing the person if the access is denied, reasons</w:t>
      </w:r>
      <w:r w:rsidRPr="00167C4F">
        <w:rPr>
          <w:rFonts w:asciiTheme="majorHAnsi" w:eastAsia="Muli" w:hAnsiTheme="majorHAnsi" w:cstheme="majorHAnsi"/>
          <w:color w:val="000000"/>
          <w:highlight w:val="yellow"/>
        </w:rPr>
        <w:t xml:space="preserve"> for the delay, or how information </w:t>
      </w:r>
      <w:r w:rsidRPr="00167C4F">
        <w:rPr>
          <w:rFonts w:asciiTheme="majorHAnsi" w:eastAsia="Muli" w:hAnsiTheme="majorHAnsi" w:cstheme="majorHAnsi"/>
          <w:highlight w:val="yellow"/>
        </w:rPr>
        <w:t>is</w:t>
      </w:r>
      <w:r w:rsidRPr="00167C4F">
        <w:rPr>
          <w:rFonts w:asciiTheme="majorHAnsi" w:eastAsia="Muli" w:hAnsiTheme="majorHAnsi" w:cstheme="majorHAnsi"/>
          <w:color w:val="000000"/>
          <w:highlight w:val="yellow"/>
        </w:rPr>
        <w:t xml:space="preserve"> provided when requested, </w:t>
      </w:r>
      <w:proofErr w:type="gramStart"/>
      <w:r w:rsidRPr="00167C4F">
        <w:rPr>
          <w:rFonts w:asciiTheme="majorHAnsi" w:eastAsia="Muli" w:hAnsiTheme="majorHAnsi" w:cstheme="majorHAnsi"/>
          <w:color w:val="000000"/>
          <w:highlight w:val="yellow"/>
        </w:rPr>
        <w:t>e.g.</w:t>
      </w:r>
      <w:proofErr w:type="gramEnd"/>
      <w:r w:rsidRPr="00167C4F">
        <w:rPr>
          <w:rFonts w:asciiTheme="majorHAnsi" w:eastAsia="Muli" w:hAnsiTheme="majorHAnsi" w:cstheme="majorHAnsi"/>
          <w:color w:val="000000"/>
          <w:highlight w:val="yellow"/>
        </w:rPr>
        <w:t xml:space="preserve"> only in hard copy</w:t>
      </w:r>
      <w:r w:rsidRPr="00167C4F">
        <w:rPr>
          <w:rFonts w:asciiTheme="majorHAnsi" w:eastAsia="Muli" w:hAnsiTheme="majorHAnsi" w:cstheme="majorHAnsi"/>
          <w:highlight w:val="yellow"/>
        </w:rPr>
        <w:t>}</w:t>
      </w:r>
    </w:p>
    <w:p w14:paraId="0CD3DF94" w14:textId="77777777" w:rsidR="00DC15C5" w:rsidRPr="004D4667" w:rsidRDefault="00DC15C5" w:rsidP="007A4061">
      <w:pPr>
        <w:numPr>
          <w:ilvl w:val="0"/>
          <w:numId w:val="40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If the Department holds the client's information, the client is told of their right to access this information through the </w:t>
      </w:r>
      <w:r w:rsidRPr="004D4667">
        <w:rPr>
          <w:rFonts w:asciiTheme="majorHAnsi" w:eastAsia="Muli" w:hAnsiTheme="majorHAnsi" w:cstheme="majorHAnsi"/>
          <w:i/>
        </w:rPr>
        <w:t>Right to Information Act 2009</w:t>
      </w:r>
      <w:r w:rsidRPr="004D4667">
        <w:rPr>
          <w:rFonts w:asciiTheme="majorHAnsi" w:eastAsia="Muli" w:hAnsiTheme="majorHAnsi" w:cstheme="majorHAnsi"/>
        </w:rPr>
        <w:t xml:space="preserve">. </w:t>
      </w:r>
    </w:p>
    <w:p w14:paraId="3734E331" w14:textId="77777777" w:rsidR="00DC15C5" w:rsidRPr="004D4667" w:rsidRDefault="00DC15C5" w:rsidP="00F76548">
      <w:pPr>
        <w:pStyle w:val="Heading2"/>
        <w:rPr>
          <w:rFonts w:eastAsia="Muli"/>
        </w:rPr>
      </w:pPr>
      <w:r w:rsidRPr="004D4667">
        <w:rPr>
          <w:rFonts w:eastAsia="Muli"/>
        </w:rPr>
        <w:lastRenderedPageBreak/>
        <w:t>Archiving and record retention</w:t>
      </w:r>
    </w:p>
    <w:p w14:paraId="02FCB203" w14:textId="77777777" w:rsidR="00DC15C5" w:rsidRPr="004D4667" w:rsidRDefault="00DC15C5" w:rsidP="007A4061">
      <w:pPr>
        <w:numPr>
          <w:ilvl w:val="0"/>
          <w:numId w:val="41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We group our records as:</w:t>
      </w:r>
    </w:p>
    <w:p w14:paraId="3345BD16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Client records</w:t>
      </w:r>
    </w:p>
    <w:p w14:paraId="1573BDFA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Staff and volunteer records</w:t>
      </w:r>
    </w:p>
    <w:p w14:paraId="144BE728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Administrative records</w:t>
      </w:r>
    </w:p>
    <w:p w14:paraId="3EEF9A03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Financial records</w:t>
      </w:r>
    </w:p>
    <w:p w14:paraId="08F42C93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>{Add any additional here}</w:t>
      </w:r>
    </w:p>
    <w:p w14:paraId="1A5EC1D2" w14:textId="77777777" w:rsidR="00DC15C5" w:rsidRPr="004D4667" w:rsidRDefault="00DC15C5" w:rsidP="007A4061">
      <w:pPr>
        <w:numPr>
          <w:ilvl w:val="0"/>
          <w:numId w:val="42"/>
        </w:numPr>
        <w:spacing w:before="120" w:after="1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>{include: Position Title}</w:t>
      </w:r>
      <w:r w:rsidRPr="004D4667">
        <w:rPr>
          <w:rFonts w:asciiTheme="majorHAnsi" w:eastAsia="Muli" w:hAnsiTheme="majorHAnsi" w:cstheme="majorHAnsi"/>
        </w:rPr>
        <w:t xml:space="preserve"> maintains the Archives Register. </w:t>
      </w:r>
    </w:p>
    <w:p w14:paraId="403E5487" w14:textId="77777777" w:rsidR="00DC15C5" w:rsidRPr="004D4667" w:rsidRDefault="00DC15C5" w:rsidP="007A4061">
      <w:pPr>
        <w:numPr>
          <w:ilvl w:val="0"/>
          <w:numId w:val="42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The Archives Register records the date of archiving, the file contents, the archive box name and number, and the file number and date of destruction</w:t>
      </w:r>
    </w:p>
    <w:p w14:paraId="323DA492" w14:textId="77777777" w:rsidR="00DC15C5" w:rsidRPr="00167C4F" w:rsidRDefault="00DC15C5" w:rsidP="007A4061">
      <w:pPr>
        <w:numPr>
          <w:ilvl w:val="0"/>
          <w:numId w:val="42"/>
        </w:numPr>
        <w:spacing w:before="120" w:after="1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When archiving records, we:</w:t>
      </w:r>
    </w:p>
    <w:p w14:paraId="01DF539A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{Include: specific details of your archiving process, including:</w:t>
      </w:r>
    </w:p>
    <w:p w14:paraId="6F96F743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Responsibilities and timeframes</w:t>
      </w:r>
    </w:p>
    <w:p w14:paraId="0D98A7A7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Include how you store records during the retention period</w:t>
      </w:r>
    </w:p>
    <w:p w14:paraId="346461D9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Where they are stored </w:t>
      </w:r>
    </w:p>
    <w:p w14:paraId="0A0A93CF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What you do once the retention period has been reached}.</w:t>
      </w:r>
    </w:p>
    <w:p w14:paraId="52D514BC" w14:textId="77777777" w:rsidR="00DC15C5" w:rsidRPr="004D4667" w:rsidRDefault="00DC15C5" w:rsidP="007A4061">
      <w:pPr>
        <w:pStyle w:val="Heading2"/>
        <w:rPr>
          <w:rFonts w:eastAsia="Muli"/>
        </w:rPr>
      </w:pPr>
      <w:r w:rsidRPr="004D4667">
        <w:rPr>
          <w:rFonts w:eastAsia="Muli"/>
        </w:rPr>
        <w:t>Electronic data</w:t>
      </w:r>
    </w:p>
    <w:p w14:paraId="53895466" w14:textId="77777777" w:rsidR="00DC15C5" w:rsidRPr="004D4667" w:rsidRDefault="00DC15C5" w:rsidP="007A4061">
      <w:pPr>
        <w:numPr>
          <w:ilvl w:val="0"/>
          <w:numId w:val="25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We have the necessary approval and privacy measures in place for data to be stored by an external or cloud-based provider </w:t>
      </w:r>
      <w:r w:rsidRPr="00167C4F">
        <w:rPr>
          <w:rFonts w:asciiTheme="majorHAnsi" w:eastAsia="Muli" w:hAnsiTheme="majorHAnsi" w:cstheme="majorHAnsi"/>
          <w:highlight w:val="yellow"/>
        </w:rPr>
        <w:t>{remove if not required}</w:t>
      </w:r>
      <w:r w:rsidRPr="004D4667">
        <w:rPr>
          <w:rFonts w:asciiTheme="majorHAnsi" w:eastAsia="Muli" w:hAnsiTheme="majorHAnsi" w:cstheme="majorHAnsi"/>
        </w:rPr>
        <w:t xml:space="preserve"> </w:t>
      </w:r>
    </w:p>
    <w:p w14:paraId="5677C0AB" w14:textId="77777777" w:rsidR="00DC15C5" w:rsidRPr="004D4667" w:rsidRDefault="00DC15C5" w:rsidP="007A4061">
      <w:pPr>
        <w:numPr>
          <w:ilvl w:val="0"/>
          <w:numId w:val="25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We respond promptly to security breaches as required by legislation and our Service Agreement </w:t>
      </w:r>
      <w:r w:rsidRPr="00167C4F">
        <w:rPr>
          <w:rFonts w:asciiTheme="majorHAnsi" w:eastAsia="Muli" w:hAnsiTheme="majorHAnsi" w:cstheme="majorHAnsi"/>
          <w:highlight w:val="yellow"/>
        </w:rPr>
        <w:t>{remove if not required}</w:t>
      </w:r>
    </w:p>
    <w:p w14:paraId="4B274460" w14:textId="77777777" w:rsidR="00DC15C5" w:rsidRPr="004D4667" w:rsidRDefault="00DC15C5" w:rsidP="007A4061">
      <w:pPr>
        <w:numPr>
          <w:ilvl w:val="0"/>
          <w:numId w:val="25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Where we use electronic monitoring, we comply with the requirements of our service agreement and relevant legislation </w:t>
      </w:r>
      <w:r w:rsidRPr="00167C4F">
        <w:rPr>
          <w:rFonts w:asciiTheme="majorHAnsi" w:eastAsia="Muli" w:hAnsiTheme="majorHAnsi" w:cstheme="majorHAnsi"/>
          <w:highlight w:val="yellow"/>
        </w:rPr>
        <w:t>{remove if not required}</w:t>
      </w:r>
      <w:r w:rsidRPr="004D4667">
        <w:rPr>
          <w:rFonts w:asciiTheme="majorHAnsi" w:eastAsia="Muli" w:hAnsiTheme="majorHAnsi" w:cstheme="majorHAnsi"/>
        </w:rPr>
        <w:t xml:space="preserve"> </w:t>
      </w:r>
    </w:p>
    <w:p w14:paraId="3C76F210" w14:textId="77777777" w:rsidR="00DC15C5" w:rsidRPr="004D4667" w:rsidRDefault="00DC15C5" w:rsidP="007A4061">
      <w:pPr>
        <w:numPr>
          <w:ilvl w:val="0"/>
          <w:numId w:val="25"/>
        </w:numPr>
        <w:spacing w:before="120" w:after="120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We manage electronic data and cloud-based or online technology by:</w:t>
      </w:r>
    </w:p>
    <w:p w14:paraId="3A312BD3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{Include: your process for managing electronic data and if you use cloud-based or online storage technologies. </w:t>
      </w:r>
    </w:p>
    <w:p w14:paraId="0B6B1998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>Include: responsibilities and access tiers, if applicable}</w:t>
      </w:r>
    </w:p>
    <w:p w14:paraId="26C18AD3" w14:textId="77777777" w:rsidR="00DC15C5" w:rsidRPr="004D4667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>{Include: where your data storage is hosted (Australia or overseas) and how you back up your data}.</w:t>
      </w:r>
    </w:p>
    <w:p w14:paraId="69F799BD" w14:textId="77777777" w:rsidR="00DC15C5" w:rsidRPr="004D4667" w:rsidRDefault="00DC15C5" w:rsidP="007A4061">
      <w:pPr>
        <w:pStyle w:val="Heading2"/>
        <w:rPr>
          <w:rFonts w:eastAsia="Muli"/>
        </w:rPr>
      </w:pPr>
      <w:r w:rsidRPr="004D4667">
        <w:rPr>
          <w:rFonts w:eastAsia="Muli"/>
        </w:rPr>
        <w:t>Emails</w:t>
      </w:r>
    </w:p>
    <w:p w14:paraId="5AD1E6BD" w14:textId="77777777" w:rsidR="00DC15C5" w:rsidRPr="00167C4F" w:rsidRDefault="00DC15C5" w:rsidP="007A4061">
      <w:pPr>
        <w:numPr>
          <w:ilvl w:val="0"/>
          <w:numId w:val="27"/>
        </w:numPr>
        <w:spacing w:before="120" w:after="120"/>
        <w:rPr>
          <w:rFonts w:asciiTheme="majorHAnsi" w:eastAsia="Muli" w:hAnsiTheme="majorHAnsi" w:cstheme="majorHAnsi"/>
          <w:color w:val="000000"/>
          <w:highlight w:val="yellow"/>
        </w:rPr>
      </w:pPr>
      <w:r w:rsidRPr="004D4667">
        <w:rPr>
          <w:rFonts w:asciiTheme="majorHAnsi" w:eastAsia="Muli" w:hAnsiTheme="majorHAnsi" w:cstheme="majorHAnsi"/>
          <w:color w:val="000000"/>
        </w:rPr>
        <w:t>Emails are our primary form of written correspondence. We manage email communication by:</w:t>
      </w:r>
    </w:p>
    <w:p w14:paraId="418DBCE6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{Include: any email rules emails, such as:</w:t>
      </w:r>
    </w:p>
    <w:p w14:paraId="75948E08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Personal email usage</w:t>
      </w:r>
    </w:p>
    <w:p w14:paraId="5F19B7E0" w14:textId="77777777" w:rsidR="00DC15C5" w:rsidRPr="00167C4F" w:rsidRDefault="00DC15C5" w:rsidP="007A4061">
      <w:pPr>
        <w:numPr>
          <w:ilvl w:val="0"/>
          <w:numId w:val="36"/>
        </w:numPr>
        <w:spacing w:before="120" w:after="120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Circumstances where email must not be used (such as most client communication, personal confidential documents, etc.). </w:t>
      </w:r>
    </w:p>
    <w:p w14:paraId="78AFE6A9" w14:textId="7CFA85F2" w:rsidR="00DC15C5" w:rsidRPr="00167C4F" w:rsidRDefault="00DC15C5" w:rsidP="007A4061">
      <w:pPr>
        <w:numPr>
          <w:ilvl w:val="0"/>
          <w:numId w:val="36"/>
        </w:numPr>
        <w:spacing w:before="120" w:after="120" w:line="276" w:lineRule="auto"/>
        <w:ind w:left="720"/>
        <w:rPr>
          <w:rFonts w:asciiTheme="majorHAnsi" w:eastAsia="Muli" w:hAnsiTheme="majorHAnsi" w:cstheme="majorHAnsi"/>
          <w:highlight w:val="yellow"/>
        </w:rPr>
      </w:pPr>
      <w:r w:rsidRPr="00167C4F">
        <w:rPr>
          <w:rFonts w:asciiTheme="majorHAnsi" w:eastAsia="Muli" w:hAnsiTheme="majorHAnsi" w:cstheme="majorHAnsi"/>
          <w:highlight w:val="yellow"/>
        </w:rPr>
        <w:t>Which emails are saved and where?}</w:t>
      </w:r>
      <w:r w:rsidR="007A4061" w:rsidRPr="00167C4F">
        <w:rPr>
          <w:rFonts w:asciiTheme="majorHAnsi" w:eastAsia="Muli" w:hAnsiTheme="majorHAnsi" w:cstheme="majorHAnsi"/>
          <w:highlight w:val="yellow"/>
        </w:rPr>
        <w:br/>
      </w:r>
      <w:r w:rsidR="007A4061" w:rsidRPr="00167C4F">
        <w:rPr>
          <w:rFonts w:asciiTheme="majorHAnsi" w:eastAsia="Muli" w:hAnsiTheme="majorHAnsi" w:cstheme="majorHAnsi"/>
          <w:highlight w:val="yellow"/>
        </w:rPr>
        <w:br/>
      </w:r>
      <w:r w:rsidR="007A4061" w:rsidRPr="00167C4F">
        <w:rPr>
          <w:rFonts w:asciiTheme="majorHAnsi" w:eastAsia="Muli" w:hAnsiTheme="majorHAnsi" w:cstheme="majorHAnsi"/>
          <w:highlight w:val="yellow"/>
        </w:rPr>
        <w:br/>
      </w:r>
      <w:r w:rsidR="007A4061" w:rsidRPr="00167C4F">
        <w:rPr>
          <w:rFonts w:asciiTheme="majorHAnsi" w:eastAsia="Muli" w:hAnsiTheme="majorHAnsi" w:cstheme="majorHAnsi"/>
          <w:highlight w:val="yellow"/>
        </w:rPr>
        <w:br/>
      </w:r>
      <w:r w:rsidR="007A4061" w:rsidRPr="00167C4F">
        <w:rPr>
          <w:rFonts w:asciiTheme="majorHAnsi" w:eastAsia="Muli" w:hAnsiTheme="majorHAnsi" w:cstheme="majorHAnsi"/>
          <w:highlight w:val="yellow"/>
        </w:rPr>
        <w:br/>
      </w:r>
    </w:p>
    <w:p w14:paraId="0F30DCE1" w14:textId="77777777" w:rsidR="00DC15C5" w:rsidRPr="004D4667" w:rsidRDefault="00DC15C5" w:rsidP="007714C5">
      <w:pPr>
        <w:pStyle w:val="Heading1"/>
        <w:rPr>
          <w:rFonts w:eastAsia="Muli" w:cstheme="majorHAnsi"/>
        </w:rPr>
      </w:pPr>
      <w:bookmarkStart w:id="5" w:name="_heading=h.hohmpyemkzpw"/>
      <w:bookmarkEnd w:id="5"/>
      <w:r w:rsidRPr="004D4667">
        <w:rPr>
          <w:rFonts w:eastAsia="Muli" w:cstheme="majorHAnsi"/>
        </w:rPr>
        <w:lastRenderedPageBreak/>
        <w:t>Related Policies and Procedures</w:t>
      </w:r>
    </w:p>
    <w:p w14:paraId="60966466" w14:textId="77777777" w:rsidR="00DC15C5" w:rsidRPr="004D4667" w:rsidRDefault="00DC15C5" w:rsidP="007714C5">
      <w:pPr>
        <w:numPr>
          <w:ilvl w:val="0"/>
          <w:numId w:val="43"/>
        </w:numPr>
        <w:spacing w:before="120" w:after="120" w:line="276" w:lineRule="auto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>Privacy and Confidentiality</w:t>
      </w:r>
    </w:p>
    <w:p w14:paraId="049693E5" w14:textId="77777777" w:rsidR="00DC15C5" w:rsidRPr="004D4667" w:rsidRDefault="00DC15C5" w:rsidP="007714C5">
      <w:pPr>
        <w:pStyle w:val="Heading1"/>
        <w:rPr>
          <w:rFonts w:eastAsia="Muli" w:cstheme="majorHAnsi"/>
          <w:szCs w:val="36"/>
        </w:rPr>
      </w:pPr>
      <w:bookmarkStart w:id="6" w:name="_heading=h.xyk9bgrqls8n"/>
      <w:bookmarkEnd w:id="6"/>
      <w:r w:rsidRPr="004D4667">
        <w:rPr>
          <w:rFonts w:eastAsia="Muli" w:cstheme="majorHAnsi"/>
        </w:rPr>
        <w:t xml:space="preserve">Supporting Documents </w:t>
      </w:r>
    </w:p>
    <w:p w14:paraId="1FB46ED1" w14:textId="77777777" w:rsidR="00DC15C5" w:rsidRPr="004D4667" w:rsidRDefault="00DC15C5" w:rsidP="007714C5">
      <w:pPr>
        <w:spacing w:before="120" w:after="120" w:line="276" w:lineRule="auto"/>
        <w:rPr>
          <w:rFonts w:asciiTheme="majorHAnsi" w:eastAsia="Muli" w:hAnsiTheme="majorHAnsi" w:cstheme="majorHAnsi"/>
        </w:rPr>
      </w:pPr>
      <w:r w:rsidRPr="00167C4F">
        <w:rPr>
          <w:rFonts w:asciiTheme="majorHAnsi" w:eastAsia="Muli" w:hAnsiTheme="majorHAnsi" w:cstheme="majorHAnsi"/>
          <w:highlight w:val="yellow"/>
        </w:rPr>
        <w:t xml:space="preserve">{List your supporting documents here, </w:t>
      </w:r>
      <w:proofErr w:type="gramStart"/>
      <w:r w:rsidRPr="00167C4F">
        <w:rPr>
          <w:rFonts w:asciiTheme="majorHAnsi" w:eastAsia="Muli" w:hAnsiTheme="majorHAnsi" w:cstheme="majorHAnsi"/>
          <w:highlight w:val="yellow"/>
        </w:rPr>
        <w:t>e.g.</w:t>
      </w:r>
      <w:proofErr w:type="gramEnd"/>
      <w:r w:rsidRPr="00167C4F">
        <w:rPr>
          <w:rFonts w:asciiTheme="majorHAnsi" w:eastAsia="Muli" w:hAnsiTheme="majorHAnsi" w:cstheme="majorHAnsi"/>
          <w:highlight w:val="yellow"/>
        </w:rPr>
        <w:t xml:space="preserve"> registers or forms}</w:t>
      </w:r>
    </w:p>
    <w:p w14:paraId="680C0B5C" w14:textId="77777777" w:rsidR="00DC15C5" w:rsidRPr="004D4667" w:rsidRDefault="00DC15C5" w:rsidP="007714C5">
      <w:pPr>
        <w:pStyle w:val="Heading1"/>
        <w:rPr>
          <w:rFonts w:eastAsia="Muli" w:cstheme="majorHAnsi"/>
        </w:rPr>
      </w:pPr>
      <w:bookmarkStart w:id="7" w:name="_heading=h.ddnsahimd3gi"/>
      <w:bookmarkEnd w:id="7"/>
      <w:r w:rsidRPr="004D4667">
        <w:rPr>
          <w:rFonts w:eastAsia="Muli" w:cstheme="majorHAnsi"/>
        </w:rPr>
        <w:t>Review</w:t>
      </w:r>
    </w:p>
    <w:p w14:paraId="311CB48B" w14:textId="77777777" w:rsidR="00DC15C5" w:rsidRPr="004D4667" w:rsidRDefault="00DC15C5" w:rsidP="007714C5">
      <w:pPr>
        <w:spacing w:before="120" w:after="120" w:line="276" w:lineRule="auto"/>
        <w:rPr>
          <w:rFonts w:asciiTheme="majorHAnsi" w:eastAsia="Muli" w:hAnsiTheme="majorHAnsi" w:cstheme="majorHAnsi"/>
        </w:rPr>
      </w:pPr>
      <w:r w:rsidRPr="004D4667">
        <w:rPr>
          <w:rFonts w:asciiTheme="majorHAnsi" w:eastAsia="Muli" w:hAnsiTheme="majorHAnsi" w:cstheme="majorHAnsi"/>
        </w:rPr>
        <w:t xml:space="preserve">This document was last reviewed on </w:t>
      </w:r>
      <w:r w:rsidRPr="00167C4F">
        <w:rPr>
          <w:rFonts w:asciiTheme="majorHAnsi" w:eastAsia="Muli" w:hAnsiTheme="majorHAnsi" w:cstheme="majorHAnsi"/>
          <w:highlight w:val="yellow"/>
        </w:rPr>
        <w:t>{</w:t>
      </w:r>
      <w:proofErr w:type="gramStart"/>
      <w:r w:rsidRPr="00167C4F">
        <w:rPr>
          <w:rFonts w:asciiTheme="majorHAnsi" w:eastAsia="Muli" w:hAnsiTheme="majorHAnsi" w:cstheme="majorHAnsi"/>
          <w:highlight w:val="yellow"/>
        </w:rPr>
        <w:t>include:</w:t>
      </w:r>
      <w:proofErr w:type="gramEnd"/>
      <w:r w:rsidRPr="00167C4F">
        <w:rPr>
          <w:rFonts w:asciiTheme="majorHAnsi" w:eastAsia="Muli" w:hAnsiTheme="majorHAnsi" w:cstheme="majorHAnsi"/>
          <w:highlight w:val="yellow"/>
        </w:rPr>
        <w:t xml:space="preserve"> date}</w:t>
      </w:r>
      <w:r w:rsidRPr="004D4667">
        <w:rPr>
          <w:rFonts w:asciiTheme="majorHAnsi" w:eastAsia="Muli" w:hAnsiTheme="majorHAnsi" w:cstheme="majorHAnsi"/>
        </w:rPr>
        <w:t xml:space="preserve">. </w:t>
      </w:r>
    </w:p>
    <w:p w14:paraId="3F3BE214" w14:textId="2B8431CF" w:rsidR="002028EB" w:rsidRPr="003B6917" w:rsidRDefault="002028EB" w:rsidP="00DC15C5">
      <w:pPr>
        <w:rPr>
          <w:rFonts w:asciiTheme="majorHAnsi" w:hAnsiTheme="majorHAnsi" w:cstheme="majorHAnsi"/>
        </w:rPr>
      </w:pPr>
    </w:p>
    <w:sectPr w:rsidR="002028EB" w:rsidRPr="003B6917" w:rsidSect="006647A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080" w:bottom="1440" w:left="1080" w:header="708" w:footer="58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8A24" w14:textId="77777777" w:rsidR="008943A9" w:rsidRDefault="008943A9" w:rsidP="006647AA">
      <w:pPr>
        <w:spacing w:after="0"/>
      </w:pPr>
      <w:r>
        <w:separator/>
      </w:r>
    </w:p>
  </w:endnote>
  <w:endnote w:type="continuationSeparator" w:id="0">
    <w:p w14:paraId="0E9672C3" w14:textId="77777777" w:rsidR="008943A9" w:rsidRDefault="008943A9" w:rsidP="00664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561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8BE38" w14:textId="77777777" w:rsidR="006647AA" w:rsidRDefault="006647AA" w:rsidP="006647AA">
        <w:pPr>
          <w:pStyle w:val="Footer"/>
          <w:ind w:right="-31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B66632" w14:textId="77777777" w:rsidR="006647AA" w:rsidRDefault="0066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A4AD" w14:textId="77777777" w:rsidR="008943A9" w:rsidRDefault="008943A9" w:rsidP="006647AA">
      <w:pPr>
        <w:spacing w:after="0"/>
      </w:pPr>
      <w:r>
        <w:separator/>
      </w:r>
    </w:p>
  </w:footnote>
  <w:footnote w:type="continuationSeparator" w:id="0">
    <w:p w14:paraId="64551277" w14:textId="77777777" w:rsidR="008943A9" w:rsidRDefault="008943A9" w:rsidP="006647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1149" w14:textId="4816ED06" w:rsidR="006647AA" w:rsidRDefault="00E84AE6">
    <w:pPr>
      <w:pStyle w:val="Header"/>
    </w:pPr>
    <w:r>
      <w:rPr>
        <w:noProof/>
      </w:rPr>
      <w:pict w14:anchorId="328FC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039610" o:spid="_x0000_s1029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watermark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F8DD" w14:textId="5DD006F5" w:rsidR="006647AA" w:rsidRDefault="0052157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0A7DA92" wp14:editId="7798D0F6">
          <wp:simplePos x="0" y="0"/>
          <wp:positionH relativeFrom="page">
            <wp:align>right</wp:align>
          </wp:positionH>
          <wp:positionV relativeFrom="paragraph">
            <wp:posOffset>-436570</wp:posOffset>
          </wp:positionV>
          <wp:extent cx="7547212" cy="10671879"/>
          <wp:effectExtent l="0" t="0" r="0" b="0"/>
          <wp:wrapNone/>
          <wp:docPr id="1" name="Picture 1" descr="Header: QCOSS logo&#10;Footer: Thin QCOSS brand colour bars - Gold, aqua and 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eader: QCOSS logo&#10;Footer: Thin QCOSS brand colour bars - Gold, aqua and oran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71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9324" w14:textId="702253E2" w:rsidR="006647AA" w:rsidRDefault="00521579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FF90A9F" wp14:editId="3F4F9DF1">
          <wp:simplePos x="0" y="0"/>
          <wp:positionH relativeFrom="page">
            <wp:align>right</wp:align>
          </wp:positionH>
          <wp:positionV relativeFrom="paragraph">
            <wp:posOffset>-436570</wp:posOffset>
          </wp:positionV>
          <wp:extent cx="7547212" cy="10671879"/>
          <wp:effectExtent l="0" t="0" r="0" b="0"/>
          <wp:wrapNone/>
          <wp:docPr id="4" name="Picture 4" descr="Header: QCOSS logo&#10;Footer: Thin QCOSS brand colour bars - Gold, aqua and 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eader: QCOSS logo&#10;Footer: Thin QCOSS brand colour bars - Gold, aqua and oran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71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C54"/>
    <w:multiLevelType w:val="multilevel"/>
    <w:tmpl w:val="F63C11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trike w:val="0"/>
        <w:dstrike w:val="0"/>
        <w:u w:val="none"/>
        <w:effect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CE8522D"/>
    <w:multiLevelType w:val="multilevel"/>
    <w:tmpl w:val="8D08E7F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BA67A5"/>
    <w:multiLevelType w:val="multilevel"/>
    <w:tmpl w:val="FABEFD22"/>
    <w:lvl w:ilvl="0">
      <w:start w:val="1"/>
      <w:numFmt w:val="bullet"/>
      <w:pStyle w:val="NumberedLis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836599"/>
    <w:multiLevelType w:val="multilevel"/>
    <w:tmpl w:val="C97658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7EB488C"/>
    <w:multiLevelType w:val="multilevel"/>
    <w:tmpl w:val="CC50CB1A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9323A91"/>
    <w:multiLevelType w:val="multilevel"/>
    <w:tmpl w:val="198A43F4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9EB72EE"/>
    <w:multiLevelType w:val="multilevel"/>
    <w:tmpl w:val="C4D6CBA4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A655896"/>
    <w:multiLevelType w:val="multilevel"/>
    <w:tmpl w:val="83B68674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C0B07DC"/>
    <w:multiLevelType w:val="multilevel"/>
    <w:tmpl w:val="6354E9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DAD19DF"/>
    <w:multiLevelType w:val="multilevel"/>
    <w:tmpl w:val="536AA078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DFE4AD2"/>
    <w:multiLevelType w:val="multilevel"/>
    <w:tmpl w:val="29562A2C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01F0EE2"/>
    <w:multiLevelType w:val="multilevel"/>
    <w:tmpl w:val="6506036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0C31245"/>
    <w:multiLevelType w:val="multilevel"/>
    <w:tmpl w:val="16BEE594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16B2F19"/>
    <w:multiLevelType w:val="multilevel"/>
    <w:tmpl w:val="1C66C7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trike w:val="0"/>
        <w:dstrike w:val="0"/>
        <w:u w:val="none"/>
        <w:effect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23A3552"/>
    <w:multiLevelType w:val="multilevel"/>
    <w:tmpl w:val="84FAE236"/>
    <w:lvl w:ilvl="0">
      <w:start w:val="1"/>
      <w:numFmt w:val="bullet"/>
      <w:pStyle w:val="Figurecaption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23BA4612"/>
    <w:multiLevelType w:val="multilevel"/>
    <w:tmpl w:val="ECA8AFB6"/>
    <w:lvl w:ilvl="0">
      <w:start w:val="1"/>
      <w:numFmt w:val="bullet"/>
      <w:pStyle w:val="Tablecaption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253232B2"/>
    <w:multiLevelType w:val="multilevel"/>
    <w:tmpl w:val="07BE77FE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91A7E9D"/>
    <w:multiLevelType w:val="multilevel"/>
    <w:tmpl w:val="49CEBE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BE63EF5"/>
    <w:multiLevelType w:val="multilevel"/>
    <w:tmpl w:val="FBEE6C04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2F7E2BCD"/>
    <w:multiLevelType w:val="multilevel"/>
    <w:tmpl w:val="173CADFE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30DF12AA"/>
    <w:multiLevelType w:val="multilevel"/>
    <w:tmpl w:val="9580FA72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38371DE"/>
    <w:multiLevelType w:val="multilevel"/>
    <w:tmpl w:val="4DF2C484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9D132D"/>
    <w:multiLevelType w:val="multilevel"/>
    <w:tmpl w:val="A52AC42A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6895611"/>
    <w:multiLevelType w:val="multilevel"/>
    <w:tmpl w:val="30FE0286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7DA5D0C"/>
    <w:multiLevelType w:val="multilevel"/>
    <w:tmpl w:val="CFAEE2BE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0CF05A3"/>
    <w:multiLevelType w:val="multilevel"/>
    <w:tmpl w:val="F43AD88E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73747D0"/>
    <w:multiLevelType w:val="multilevel"/>
    <w:tmpl w:val="6FBE3D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BCC0E1B"/>
    <w:multiLevelType w:val="multilevel"/>
    <w:tmpl w:val="AC4C71D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BF00367"/>
    <w:multiLevelType w:val="multilevel"/>
    <w:tmpl w:val="4C0235FE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2D33A87"/>
    <w:multiLevelType w:val="multilevel"/>
    <w:tmpl w:val="18A6EC34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55572C3D"/>
    <w:multiLevelType w:val="hybridMultilevel"/>
    <w:tmpl w:val="91C49FA8"/>
    <w:lvl w:ilvl="0" w:tplc="C2AA65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2A3648" w:themeColor="text2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6009BB"/>
    <w:multiLevelType w:val="multilevel"/>
    <w:tmpl w:val="E92249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578710B4"/>
    <w:multiLevelType w:val="multilevel"/>
    <w:tmpl w:val="0B0E5768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9584FF5"/>
    <w:multiLevelType w:val="multilevel"/>
    <w:tmpl w:val="84A2AFA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C4B0377"/>
    <w:multiLevelType w:val="hybridMultilevel"/>
    <w:tmpl w:val="4482A4EC"/>
    <w:lvl w:ilvl="0" w:tplc="C2AA65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2A3648" w:themeColor="text2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BC463E"/>
    <w:multiLevelType w:val="multilevel"/>
    <w:tmpl w:val="DBF874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60392E6D"/>
    <w:multiLevelType w:val="multilevel"/>
    <w:tmpl w:val="AA18C5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3F8670C"/>
    <w:multiLevelType w:val="multilevel"/>
    <w:tmpl w:val="0DC2331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4375A77"/>
    <w:multiLevelType w:val="multilevel"/>
    <w:tmpl w:val="9E84C6D6"/>
    <w:lvl w:ilvl="0">
      <w:start w:val="1"/>
      <w:numFmt w:val="bullet"/>
      <w:pStyle w:val="Heading1Char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9" w15:restartNumberingAfterBreak="0">
    <w:nsid w:val="64EC70BE"/>
    <w:multiLevelType w:val="multilevel"/>
    <w:tmpl w:val="E466D9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89A2975"/>
    <w:multiLevelType w:val="multilevel"/>
    <w:tmpl w:val="6F2AF7F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706D453F"/>
    <w:multiLevelType w:val="multilevel"/>
    <w:tmpl w:val="6E7634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77C21AC4"/>
    <w:multiLevelType w:val="hybridMultilevel"/>
    <w:tmpl w:val="EC288208"/>
    <w:lvl w:ilvl="0" w:tplc="C2AA65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2A3648" w:themeColor="text2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CA3682"/>
    <w:multiLevelType w:val="multilevel"/>
    <w:tmpl w:val="C986937C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D132110"/>
    <w:multiLevelType w:val="multilevel"/>
    <w:tmpl w:val="560A53D0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D7D084A"/>
    <w:multiLevelType w:val="multilevel"/>
    <w:tmpl w:val="4D02BC5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23"/>
  </w:num>
  <w:num w:numId="5">
    <w:abstractNumId w:val="37"/>
  </w:num>
  <w:num w:numId="6">
    <w:abstractNumId w:val="1"/>
  </w:num>
  <w:num w:numId="7">
    <w:abstractNumId w:val="2"/>
  </w:num>
  <w:num w:numId="8">
    <w:abstractNumId w:val="10"/>
  </w:num>
  <w:num w:numId="9">
    <w:abstractNumId w:val="36"/>
  </w:num>
  <w:num w:numId="10">
    <w:abstractNumId w:val="8"/>
  </w:num>
  <w:num w:numId="11">
    <w:abstractNumId w:val="12"/>
  </w:num>
  <w:num w:numId="12">
    <w:abstractNumId w:val="5"/>
  </w:num>
  <w:num w:numId="13">
    <w:abstractNumId w:val="45"/>
  </w:num>
  <w:num w:numId="14">
    <w:abstractNumId w:val="0"/>
  </w:num>
  <w:num w:numId="15">
    <w:abstractNumId w:val="13"/>
  </w:num>
  <w:num w:numId="16">
    <w:abstractNumId w:val="31"/>
  </w:num>
  <w:num w:numId="17">
    <w:abstractNumId w:val="24"/>
  </w:num>
  <w:num w:numId="18">
    <w:abstractNumId w:val="4"/>
  </w:num>
  <w:num w:numId="19">
    <w:abstractNumId w:val="28"/>
  </w:num>
  <w:num w:numId="20">
    <w:abstractNumId w:val="6"/>
  </w:num>
  <w:num w:numId="21">
    <w:abstractNumId w:val="26"/>
  </w:num>
  <w:num w:numId="22">
    <w:abstractNumId w:val="9"/>
  </w:num>
  <w:num w:numId="23">
    <w:abstractNumId w:val="16"/>
  </w:num>
  <w:num w:numId="24">
    <w:abstractNumId w:val="34"/>
  </w:num>
  <w:num w:numId="25">
    <w:abstractNumId w:val="7"/>
  </w:num>
  <w:num w:numId="26">
    <w:abstractNumId w:val="40"/>
  </w:num>
  <w:num w:numId="27">
    <w:abstractNumId w:val="17"/>
  </w:num>
  <w:num w:numId="28">
    <w:abstractNumId w:val="41"/>
  </w:num>
  <w:num w:numId="29">
    <w:abstractNumId w:val="22"/>
  </w:num>
  <w:num w:numId="30">
    <w:abstractNumId w:val="33"/>
  </w:num>
  <w:num w:numId="31">
    <w:abstractNumId w:val="35"/>
  </w:num>
  <w:num w:numId="32">
    <w:abstractNumId w:val="27"/>
  </w:num>
  <w:num w:numId="33">
    <w:abstractNumId w:val="3"/>
  </w:num>
  <w:num w:numId="34">
    <w:abstractNumId w:val="39"/>
  </w:num>
  <w:num w:numId="35">
    <w:abstractNumId w:val="29"/>
  </w:num>
  <w:num w:numId="36">
    <w:abstractNumId w:val="11"/>
  </w:num>
  <w:num w:numId="37">
    <w:abstractNumId w:val="43"/>
  </w:num>
  <w:num w:numId="38">
    <w:abstractNumId w:val="32"/>
  </w:num>
  <w:num w:numId="39">
    <w:abstractNumId w:val="21"/>
  </w:num>
  <w:num w:numId="40">
    <w:abstractNumId w:val="44"/>
  </w:num>
  <w:num w:numId="41">
    <w:abstractNumId w:val="25"/>
  </w:num>
  <w:num w:numId="42">
    <w:abstractNumId w:val="18"/>
  </w:num>
  <w:num w:numId="43">
    <w:abstractNumId w:val="20"/>
  </w:num>
  <w:num w:numId="44">
    <w:abstractNumId w:val="30"/>
  </w:num>
  <w:num w:numId="45">
    <w:abstractNumId w:val="42"/>
  </w:num>
  <w:num w:numId="46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B9"/>
    <w:rsid w:val="00003724"/>
    <w:rsid w:val="00045F80"/>
    <w:rsid w:val="00050694"/>
    <w:rsid w:val="000E21C1"/>
    <w:rsid w:val="000F38F7"/>
    <w:rsid w:val="000F6A0A"/>
    <w:rsid w:val="0011380D"/>
    <w:rsid w:val="0013660E"/>
    <w:rsid w:val="001412E5"/>
    <w:rsid w:val="00167C4F"/>
    <w:rsid w:val="00177BDB"/>
    <w:rsid w:val="001839CC"/>
    <w:rsid w:val="0019787B"/>
    <w:rsid w:val="001E13DA"/>
    <w:rsid w:val="002028EB"/>
    <w:rsid w:val="0020464A"/>
    <w:rsid w:val="002504AB"/>
    <w:rsid w:val="00284C21"/>
    <w:rsid w:val="00293731"/>
    <w:rsid w:val="00294280"/>
    <w:rsid w:val="002A14F2"/>
    <w:rsid w:val="002D6342"/>
    <w:rsid w:val="002E2076"/>
    <w:rsid w:val="0030275D"/>
    <w:rsid w:val="0030475F"/>
    <w:rsid w:val="00311087"/>
    <w:rsid w:val="003203A8"/>
    <w:rsid w:val="003420FF"/>
    <w:rsid w:val="00345C29"/>
    <w:rsid w:val="00351851"/>
    <w:rsid w:val="00352ECD"/>
    <w:rsid w:val="00375C53"/>
    <w:rsid w:val="003A4537"/>
    <w:rsid w:val="003B6917"/>
    <w:rsid w:val="003D02B4"/>
    <w:rsid w:val="00405388"/>
    <w:rsid w:val="0041559D"/>
    <w:rsid w:val="0043092E"/>
    <w:rsid w:val="0048654D"/>
    <w:rsid w:val="004D4667"/>
    <w:rsid w:val="004D7671"/>
    <w:rsid w:val="004E0AC0"/>
    <w:rsid w:val="00521579"/>
    <w:rsid w:val="00521633"/>
    <w:rsid w:val="00523CF2"/>
    <w:rsid w:val="00524B8C"/>
    <w:rsid w:val="00543953"/>
    <w:rsid w:val="005B0354"/>
    <w:rsid w:val="005C37D6"/>
    <w:rsid w:val="00607B90"/>
    <w:rsid w:val="00610E0E"/>
    <w:rsid w:val="006148FD"/>
    <w:rsid w:val="00636560"/>
    <w:rsid w:val="006409A1"/>
    <w:rsid w:val="006647AA"/>
    <w:rsid w:val="00690A26"/>
    <w:rsid w:val="006A3C28"/>
    <w:rsid w:val="006B0212"/>
    <w:rsid w:val="00732C5E"/>
    <w:rsid w:val="0073724E"/>
    <w:rsid w:val="007574B3"/>
    <w:rsid w:val="007714C5"/>
    <w:rsid w:val="007718F9"/>
    <w:rsid w:val="00797C77"/>
    <w:rsid w:val="007A4061"/>
    <w:rsid w:val="007B2513"/>
    <w:rsid w:val="007C7630"/>
    <w:rsid w:val="007E1388"/>
    <w:rsid w:val="007E6BB9"/>
    <w:rsid w:val="00861472"/>
    <w:rsid w:val="00873EBD"/>
    <w:rsid w:val="008943A9"/>
    <w:rsid w:val="008C0213"/>
    <w:rsid w:val="008C4EFA"/>
    <w:rsid w:val="008D2683"/>
    <w:rsid w:val="008E760E"/>
    <w:rsid w:val="00901B61"/>
    <w:rsid w:val="00941181"/>
    <w:rsid w:val="00975B02"/>
    <w:rsid w:val="009B1497"/>
    <w:rsid w:val="009D02AE"/>
    <w:rsid w:val="00A02FB3"/>
    <w:rsid w:val="00A272EE"/>
    <w:rsid w:val="00A87D47"/>
    <w:rsid w:val="00AB0A1E"/>
    <w:rsid w:val="00AC7E93"/>
    <w:rsid w:val="00AE6269"/>
    <w:rsid w:val="00AE6537"/>
    <w:rsid w:val="00B076CF"/>
    <w:rsid w:val="00B213C8"/>
    <w:rsid w:val="00B52558"/>
    <w:rsid w:val="00BA27FD"/>
    <w:rsid w:val="00BB183D"/>
    <w:rsid w:val="00BD5E40"/>
    <w:rsid w:val="00BD724C"/>
    <w:rsid w:val="00BD77E5"/>
    <w:rsid w:val="00BE458A"/>
    <w:rsid w:val="00C0516E"/>
    <w:rsid w:val="00C542CB"/>
    <w:rsid w:val="00C84007"/>
    <w:rsid w:val="00C90E8D"/>
    <w:rsid w:val="00CB6B83"/>
    <w:rsid w:val="00CF5048"/>
    <w:rsid w:val="00D533DA"/>
    <w:rsid w:val="00D60D2A"/>
    <w:rsid w:val="00D60FFB"/>
    <w:rsid w:val="00D73258"/>
    <w:rsid w:val="00D7706D"/>
    <w:rsid w:val="00DA751B"/>
    <w:rsid w:val="00DC15C5"/>
    <w:rsid w:val="00E03631"/>
    <w:rsid w:val="00E1443E"/>
    <w:rsid w:val="00E33235"/>
    <w:rsid w:val="00E50631"/>
    <w:rsid w:val="00E5213D"/>
    <w:rsid w:val="00E76DC7"/>
    <w:rsid w:val="00E84AE6"/>
    <w:rsid w:val="00E9521F"/>
    <w:rsid w:val="00EA0DA2"/>
    <w:rsid w:val="00EC5597"/>
    <w:rsid w:val="00EE3F18"/>
    <w:rsid w:val="00EE7B82"/>
    <w:rsid w:val="00EE7FEE"/>
    <w:rsid w:val="00F010E8"/>
    <w:rsid w:val="00F373DD"/>
    <w:rsid w:val="00F373E6"/>
    <w:rsid w:val="00F56B84"/>
    <w:rsid w:val="00F76548"/>
    <w:rsid w:val="00F90CE3"/>
    <w:rsid w:val="00FA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28ADD"/>
  <w15:chartTrackingRefBased/>
  <w15:docId w15:val="{F9701F24-306E-41F3-BB8E-9004174D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C5"/>
    <w:pPr>
      <w:spacing w:after="240" w:line="240" w:lineRule="auto"/>
    </w:pPr>
    <w:rPr>
      <w:rFonts w:ascii="Arial" w:eastAsia="Arial" w:hAnsi="Arial" w:cs="Arial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80D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2A3648" w:themeColor="text2"/>
      <w:sz w:val="36"/>
      <w:szCs w:val="32"/>
      <w:u w:val="single" w:color="FAA61B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A3648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3648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BB9"/>
    <w:pPr>
      <w:keepNext/>
      <w:keepLines/>
      <w:spacing w:before="40" w:after="120"/>
      <w:outlineLvl w:val="3"/>
    </w:pPr>
    <w:rPr>
      <w:rFonts w:eastAsiaTheme="majorEastAsia"/>
      <w:b/>
      <w:i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80D"/>
    <w:rPr>
      <w:rFonts w:asciiTheme="majorHAnsi" w:eastAsiaTheme="majorEastAsia" w:hAnsiTheme="majorHAnsi" w:cstheme="majorBidi"/>
      <w:b/>
      <w:color w:val="2A3648" w:themeColor="text2"/>
      <w:sz w:val="36"/>
      <w:szCs w:val="32"/>
      <w:u w:val="single" w:color="FAA61B" w:themeColor="accent1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647AA"/>
    <w:rPr>
      <w:rFonts w:asciiTheme="majorHAnsi" w:eastAsiaTheme="majorEastAsia" w:hAnsiTheme="majorHAnsi" w:cstheme="majorBidi"/>
      <w:b/>
      <w:color w:val="2A3648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45C29"/>
    <w:pPr>
      <w:pBdr>
        <w:bottom w:val="single" w:sz="24" w:space="1" w:color="auto"/>
      </w:pBdr>
      <w:spacing w:after="0"/>
      <w:contextualSpacing/>
    </w:pPr>
    <w:rPr>
      <w:rFonts w:asciiTheme="minorHAnsi" w:eastAsiaTheme="majorEastAsia" w:hAnsiTheme="minorHAnsi" w:cstheme="majorBidi"/>
      <w:b/>
      <w:color w:val="2A3648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C29"/>
    <w:rPr>
      <w:rFonts w:eastAsiaTheme="majorEastAsia" w:cstheme="majorBidi"/>
      <w:b/>
      <w:color w:val="2A3648" w:themeColor="text2"/>
      <w:spacing w:val="-10"/>
      <w:kern w:val="28"/>
      <w:sz w:val="48"/>
      <w:szCs w:val="5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6647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47AA"/>
  </w:style>
  <w:style w:type="paragraph" w:styleId="Footer">
    <w:name w:val="footer"/>
    <w:basedOn w:val="Normal"/>
    <w:link w:val="FooterChar"/>
    <w:uiPriority w:val="99"/>
    <w:unhideWhenUsed/>
    <w:rsid w:val="006647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47AA"/>
  </w:style>
  <w:style w:type="paragraph" w:styleId="NoSpacing">
    <w:name w:val="No Spacing"/>
    <w:link w:val="NoSpacingChar"/>
    <w:uiPriority w:val="1"/>
    <w:qFormat/>
    <w:rsid w:val="006647A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47AA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6647AA"/>
    <w:rPr>
      <w:color w:val="6BC9C8" w:themeColor="hyperlink"/>
      <w:u w:val="single"/>
    </w:rPr>
  </w:style>
  <w:style w:type="table" w:styleId="TableGrid">
    <w:name w:val="Table Grid"/>
    <w:basedOn w:val="TableNormal"/>
    <w:uiPriority w:val="39"/>
    <w:rsid w:val="0052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523CF2"/>
    <w:pPr>
      <w:spacing w:after="0" w:line="240" w:lineRule="auto"/>
    </w:pPr>
    <w:tblPr>
      <w:tblStyleRowBandSize w:val="1"/>
      <w:tblStyleColBandSize w:val="1"/>
      <w:tblBorders>
        <w:top w:val="single" w:sz="4" w:space="0" w:color="FCC976" w:themeColor="accent1" w:themeTint="99"/>
        <w:left w:val="single" w:sz="4" w:space="0" w:color="FCC976" w:themeColor="accent1" w:themeTint="99"/>
        <w:bottom w:val="single" w:sz="4" w:space="0" w:color="FCC976" w:themeColor="accent1" w:themeTint="99"/>
        <w:right w:val="single" w:sz="4" w:space="0" w:color="FCC976" w:themeColor="accent1" w:themeTint="99"/>
        <w:insideH w:val="single" w:sz="4" w:space="0" w:color="FCC976" w:themeColor="accent1" w:themeTint="99"/>
        <w:insideV w:val="single" w:sz="4" w:space="0" w:color="FCC9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1" w:themeFill="accent1" w:themeFillTint="33"/>
      </w:tcPr>
    </w:tblStylePr>
    <w:tblStylePr w:type="band1Horz">
      <w:tblPr/>
      <w:tcPr>
        <w:shd w:val="clear" w:color="auto" w:fill="FEEDD1" w:themeFill="accent1" w:themeFillTint="33"/>
      </w:tcPr>
    </w:tblStylePr>
    <w:tblStylePr w:type="neCell">
      <w:tblPr/>
      <w:tcPr>
        <w:tcBorders>
          <w:bottom w:val="single" w:sz="4" w:space="0" w:color="FCC976" w:themeColor="accent1" w:themeTint="99"/>
        </w:tcBorders>
      </w:tcPr>
    </w:tblStylePr>
    <w:tblStylePr w:type="nwCell">
      <w:tblPr/>
      <w:tcPr>
        <w:tcBorders>
          <w:bottom w:val="single" w:sz="4" w:space="0" w:color="FCC976" w:themeColor="accent1" w:themeTint="99"/>
        </w:tcBorders>
      </w:tcPr>
    </w:tblStylePr>
    <w:tblStylePr w:type="seCell">
      <w:tblPr/>
      <w:tcPr>
        <w:tcBorders>
          <w:top w:val="single" w:sz="4" w:space="0" w:color="FCC976" w:themeColor="accent1" w:themeTint="99"/>
        </w:tcBorders>
      </w:tcPr>
    </w:tblStylePr>
    <w:tblStylePr w:type="swCell">
      <w:tblPr/>
      <w:tcPr>
        <w:tcBorders>
          <w:top w:val="single" w:sz="4" w:space="0" w:color="FCC976" w:themeColor="accent1" w:themeTint="99"/>
        </w:tcBorders>
      </w:tcPr>
    </w:tblStylePr>
  </w:style>
  <w:style w:type="table" w:styleId="GridTable5Dark-Accent1">
    <w:name w:val="Grid Table 5 Dark Accent 1"/>
    <w:aliases w:val="QCOSS table"/>
    <w:basedOn w:val="TableNormal"/>
    <w:uiPriority w:val="50"/>
    <w:rsid w:val="00177BDB"/>
    <w:pPr>
      <w:spacing w:after="0" w:line="240" w:lineRule="auto"/>
    </w:pPr>
    <w:rPr>
      <w:color w:val="2A3648" w:themeColor="text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D1" w:themeFill="accent1" w:themeFillTint="33"/>
    </w:tcPr>
    <w:tblStylePr w:type="firstRow">
      <w:rPr>
        <w:b/>
        <w:bCs/>
        <w:color w:val="2A3648" w:themeColor="text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61B" w:themeFill="accent1"/>
      </w:tcPr>
    </w:tblStylePr>
    <w:tblStylePr w:type="lastRow">
      <w:rPr>
        <w:b/>
        <w:bCs/>
        <w:color w:val="2A3648" w:themeColor="text2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61B" w:themeFill="accent1"/>
      </w:tcPr>
    </w:tblStylePr>
    <w:tblStylePr w:type="firstCol">
      <w:rPr>
        <w:b/>
        <w:bCs/>
        <w:color w:val="2A3648" w:themeColor="text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61B" w:themeFill="accent1"/>
      </w:tcPr>
    </w:tblStylePr>
    <w:tblStylePr w:type="lastCol">
      <w:rPr>
        <w:b/>
        <w:bCs/>
        <w:color w:val="2A3648" w:themeColor="text2"/>
      </w:rPr>
      <w:tblPr/>
      <w:tcPr>
        <w:shd w:val="clear" w:color="auto" w:fill="FDDBA3" w:themeFill="accent1" w:themeFillTint="66"/>
      </w:tcPr>
    </w:tblStylePr>
    <w:tblStylePr w:type="band1Vert">
      <w:tblPr/>
      <w:tcPr>
        <w:shd w:val="clear" w:color="auto" w:fill="FDDBA3" w:themeFill="accent1" w:themeFillTint="66"/>
      </w:tcPr>
    </w:tblStylePr>
    <w:tblStylePr w:type="band1Horz">
      <w:tblPr/>
      <w:tcPr>
        <w:shd w:val="clear" w:color="auto" w:fill="FDDBA3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rsid w:val="002E2076"/>
    <w:pPr>
      <w:outlineLvl w:val="9"/>
    </w:pPr>
    <w:rPr>
      <w:b w:val="0"/>
      <w:color w:val="CA7F04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2E207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E2076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A87D47"/>
    <w:rPr>
      <w:rFonts w:asciiTheme="majorHAnsi" w:eastAsiaTheme="majorEastAsia" w:hAnsiTheme="majorHAnsi" w:cstheme="majorBidi"/>
      <w:color w:val="2A3648" w:themeColor="text2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1412E5"/>
    <w:pPr>
      <w:spacing w:after="200"/>
    </w:pPr>
    <w:rPr>
      <w:i/>
      <w:iCs/>
      <w:color w:val="2A3648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516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E6BB9"/>
    <w:rPr>
      <w:rFonts w:ascii="Arial" w:eastAsiaTheme="majorEastAsia" w:hAnsi="Arial" w:cs="Arial"/>
      <w:b/>
      <w:iCs/>
      <w:sz w:val="20"/>
      <w:szCs w:val="2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7E6BB9"/>
    <w:pPr>
      <w:numPr>
        <w:numId w:val="1"/>
      </w:numPr>
      <w:contextualSpacing/>
    </w:pPr>
  </w:style>
  <w:style w:type="paragraph" w:customStyle="1" w:styleId="CoverDocumentTitle">
    <w:name w:val="Cover Document Title"/>
    <w:basedOn w:val="Title"/>
    <w:next w:val="Heading1"/>
    <w:qFormat/>
    <w:rsid w:val="007E6BB9"/>
    <w:pPr>
      <w:spacing w:before="240"/>
    </w:pPr>
    <w:rPr>
      <w:rFonts w:ascii="Arial" w:hAnsi="Arial" w:cs="Arial"/>
      <w:b w:val="0"/>
      <w:sz w:val="90"/>
      <w:szCs w:val="90"/>
    </w:rPr>
  </w:style>
  <w:style w:type="table" w:styleId="ListTable2">
    <w:name w:val="List Table 2"/>
    <w:basedOn w:val="TableNormal"/>
    <w:uiPriority w:val="47"/>
    <w:rsid w:val="003203A8"/>
    <w:pPr>
      <w:spacing w:after="0" w:line="240" w:lineRule="auto"/>
    </w:pPr>
    <w:tblPr>
      <w:tblStyleRowBandSize w:val="1"/>
      <w:tblStyleColBandSize w:val="1"/>
      <w:tblBorders>
        <w:top w:val="single" w:sz="4" w:space="0" w:color="6881A7" w:themeColor="text1" w:themeTint="99"/>
        <w:bottom w:val="single" w:sz="4" w:space="0" w:color="6881A7" w:themeColor="text1" w:themeTint="99"/>
        <w:insideH w:val="single" w:sz="4" w:space="0" w:color="6881A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5E1" w:themeFill="text1" w:themeFillTint="33"/>
      </w:tcPr>
    </w:tblStylePr>
    <w:tblStylePr w:type="band1Horz">
      <w:tblPr/>
      <w:tcPr>
        <w:shd w:val="clear" w:color="auto" w:fill="CCD5E1" w:themeFill="text1" w:themeFillTint="33"/>
      </w:tcPr>
    </w:tblStylePr>
  </w:style>
  <w:style w:type="table" w:styleId="PlainTable2">
    <w:name w:val="Plain Table 2"/>
    <w:basedOn w:val="TableNormal"/>
    <w:uiPriority w:val="42"/>
    <w:rsid w:val="003203A8"/>
    <w:pPr>
      <w:spacing w:after="0" w:line="240" w:lineRule="auto"/>
    </w:pPr>
    <w:tblPr>
      <w:tblStyleRowBandSize w:val="1"/>
      <w:tblStyleColBandSize w:val="1"/>
      <w:tblBorders>
        <w:top w:val="single" w:sz="4" w:space="0" w:color="8196B5" w:themeColor="text1" w:themeTint="80"/>
        <w:bottom w:val="single" w:sz="4" w:space="0" w:color="8196B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196B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196B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196B5" w:themeColor="text1" w:themeTint="80"/>
          <w:right w:val="single" w:sz="4" w:space="0" w:color="8196B5" w:themeColor="text1" w:themeTint="80"/>
        </w:tcBorders>
      </w:tcPr>
    </w:tblStylePr>
    <w:tblStylePr w:type="band2Vert">
      <w:tblPr/>
      <w:tcPr>
        <w:tcBorders>
          <w:left w:val="single" w:sz="4" w:space="0" w:color="8196B5" w:themeColor="text1" w:themeTint="80"/>
          <w:right w:val="single" w:sz="4" w:space="0" w:color="8196B5" w:themeColor="text1" w:themeTint="80"/>
        </w:tcBorders>
      </w:tcPr>
    </w:tblStylePr>
    <w:tblStylePr w:type="band1Horz">
      <w:tblPr/>
      <w:tcPr>
        <w:tcBorders>
          <w:top w:val="single" w:sz="4" w:space="0" w:color="8196B5" w:themeColor="text1" w:themeTint="80"/>
          <w:bottom w:val="single" w:sz="4" w:space="0" w:color="8196B5" w:themeColor="text1" w:themeTint="80"/>
        </w:tcBorders>
      </w:tcPr>
    </w:tblStylePr>
  </w:style>
  <w:style w:type="paragraph" w:customStyle="1" w:styleId="Tablecaption">
    <w:name w:val="Table caption"/>
    <w:basedOn w:val="ListParagraph"/>
    <w:next w:val="Normal"/>
    <w:qFormat/>
    <w:rsid w:val="00901B61"/>
    <w:pPr>
      <w:numPr>
        <w:numId w:val="2"/>
      </w:numPr>
      <w:tabs>
        <w:tab w:val="num" w:pos="360"/>
      </w:tabs>
      <w:spacing w:before="120" w:after="0"/>
      <w:ind w:left="357" w:hanging="357"/>
    </w:pPr>
    <w:rPr>
      <w:b/>
      <w:color w:val="4D4D4D"/>
      <w:lang w:val="en-AU"/>
    </w:rPr>
  </w:style>
  <w:style w:type="paragraph" w:customStyle="1" w:styleId="Figurecaption">
    <w:name w:val="Figure caption"/>
    <w:basedOn w:val="ListParagraph"/>
    <w:next w:val="Normal"/>
    <w:qFormat/>
    <w:rsid w:val="00901B61"/>
    <w:pPr>
      <w:numPr>
        <w:numId w:val="3"/>
      </w:numPr>
      <w:tabs>
        <w:tab w:val="num" w:pos="360"/>
      </w:tabs>
      <w:spacing w:after="120"/>
      <w:ind w:left="357" w:hanging="357"/>
    </w:pPr>
    <w:rPr>
      <w:b/>
      <w:color w:val="4D4D4D"/>
      <w:lang w:val="en-AU"/>
    </w:rPr>
  </w:style>
  <w:style w:type="paragraph" w:styleId="ListParagraph">
    <w:name w:val="List Paragraph"/>
    <w:aliases w:val="Bulleted List,Recommendation,List Paragraph1,List Paragraph11,L,Bullet point,NFP GP Bulleted List,2nd Bullet point,#List Paragraph,Figure_name,Bullet- First level,Listenabsatz1,Number,List Paragraph111,F5 List Paragraph,Dot pt,CV text,列出段"/>
    <w:basedOn w:val="Normal"/>
    <w:uiPriority w:val="34"/>
    <w:qFormat/>
    <w:rsid w:val="00901B61"/>
    <w:pPr>
      <w:ind w:left="720"/>
      <w:contextualSpacing/>
    </w:pPr>
  </w:style>
  <w:style w:type="paragraph" w:customStyle="1" w:styleId="NumberedList">
    <w:name w:val="Numbered List"/>
    <w:basedOn w:val="ListParagraph"/>
    <w:qFormat/>
    <w:rsid w:val="00050694"/>
    <w:pPr>
      <w:numPr>
        <w:numId w:val="7"/>
      </w:numPr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aic.gov.au/privacy/guidance-and-advice/guide-to-undertaking-privacy-impact-assessmen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csyw.qld.gov.au/resources/dcsyw/about-us/right-to-information/privacy-guide.pdf" TargetMode="External"/><Relationship Id="rId17" Type="http://schemas.openxmlformats.org/officeDocument/2006/relationships/hyperlink" Target="https://www.cyjma.qld.gov.au/about-us/our-department/funding-grants-invest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ld.gov.au/community/caring-child/foster-kinship-care/information-for-carers/rights-and-responsibilities/carers-responsibilities/social-media-guidelin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ic.qld.gov.au/guidelines/for-government/guidelines-privacy-principles/contracted-service-providers/contracted-service-provider-checkli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yjma.qld.gov.au/about-us/our-department/partners/child-family/recordkeeping-requirements-non-government-organisa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aic.gov.au/privacy/notifiable-data-breaches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justice.qld.gov.au/public-advocate/activities/past/inquiry-into-the-use-of-electronic-monitoring-at-disability-accommodation-sites-in-queenslan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Lightfoot\OneDrive%20-%20Queensland%20Council%20Of%20Social%20Service%20Ltd\Documents\Custom%20Office%20Templates\Long_Report_Template.dotx" TargetMode="External"/></Relationships>
</file>

<file path=word/theme/theme1.xml><?xml version="1.0" encoding="utf-8"?>
<a:theme xmlns:a="http://schemas.openxmlformats.org/drawingml/2006/main" name="Office Theme">
  <a:themeElements>
    <a:clrScheme name="QCOSS PowerPoint Colours">
      <a:dk1>
        <a:srgbClr val="2A3648"/>
      </a:dk1>
      <a:lt1>
        <a:srgbClr val="FFFFFF"/>
      </a:lt1>
      <a:dk2>
        <a:srgbClr val="2A3648"/>
      </a:dk2>
      <a:lt2>
        <a:srgbClr val="FFFFFF"/>
      </a:lt2>
      <a:accent1>
        <a:srgbClr val="FAA61B"/>
      </a:accent1>
      <a:accent2>
        <a:srgbClr val="F26638"/>
      </a:accent2>
      <a:accent3>
        <a:srgbClr val="6BC9C8"/>
      </a:accent3>
      <a:accent4>
        <a:srgbClr val="CB8004"/>
      </a:accent4>
      <a:accent5>
        <a:srgbClr val="D13E0D"/>
      </a:accent5>
      <a:accent6>
        <a:srgbClr val="3DA9A8"/>
      </a:accent6>
      <a:hlink>
        <a:srgbClr val="6BC9C8"/>
      </a:hlink>
      <a:folHlink>
        <a:srgbClr val="9CC3E5"/>
      </a:folHlink>
    </a:clrScheme>
    <a:fontScheme name="QCOSS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848FE099C774BB419DD6F357A8279" ma:contentTypeVersion="12" ma:contentTypeDescription="Create a new document." ma:contentTypeScope="" ma:versionID="182148bdbfa6c2ca66e5810c6b799284">
  <xsd:schema xmlns:xsd="http://www.w3.org/2001/XMLSchema" xmlns:xs="http://www.w3.org/2001/XMLSchema" xmlns:p="http://schemas.microsoft.com/office/2006/metadata/properties" xmlns:ns2="7cd5d248-515f-4f75-944a-47fd623a6c44" xmlns:ns3="bf916b0d-7c40-48b1-87b8-3efeb89701ee" targetNamespace="http://schemas.microsoft.com/office/2006/metadata/properties" ma:root="true" ma:fieldsID="fe6527adb2f5605b5c1735f2394fbdda" ns2:_="" ns3:_="">
    <xsd:import namespace="7cd5d248-515f-4f75-944a-47fd623a6c44"/>
    <xsd:import namespace="bf916b0d-7c40-48b1-87b8-3efeb8970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d248-515f-4f75-944a-47fd623a6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6b0d-7c40-48b1-87b8-3efeb8970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0005F-7491-4220-BB7B-143ADB44F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28BF4-F8F8-4A81-8036-0C83B59C2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00B21B-1107-4E14-A819-2F099A2A0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5d248-515f-4f75-944a-47fd623a6c44"/>
    <ds:schemaRef ds:uri="bf916b0d-7c40-48b1-87b8-3efeb8970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Long_Report_Template</Template>
  <TotalTime>1082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Lightfoot</dc:creator>
  <cp:keywords/>
  <dc:description/>
  <cp:lastModifiedBy>Stacey De Calmer</cp:lastModifiedBy>
  <cp:revision>38</cp:revision>
  <dcterms:created xsi:type="dcterms:W3CDTF">2022-02-15T04:35:00Z</dcterms:created>
  <dcterms:modified xsi:type="dcterms:W3CDTF">2022-04-20T01:28:00Z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0x01010002E848FE099C774BB419DD6F357A8279</vt:lpwstr>
  </property>
</Properties>
</file>